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D0753" w14:textId="73C64EE2" w:rsidR="00743C61" w:rsidRPr="00A15D90" w:rsidRDefault="00743C61" w:rsidP="00743C61">
      <w:pPr>
        <w:pStyle w:val="Nzev"/>
        <w:rPr>
          <w:rFonts w:asciiTheme="minorHAnsi" w:hAnsiTheme="minorHAnsi"/>
        </w:rPr>
      </w:pPr>
      <w:r w:rsidRPr="00A15D90">
        <w:rPr>
          <w:rFonts w:asciiTheme="minorHAnsi" w:hAnsiTheme="minorHAnsi"/>
        </w:rPr>
        <w:t>SMLUVNÍ PODMÍNKY PRO VÝSTAVBU POZEMNÍCH</w:t>
      </w:r>
      <w:r w:rsidR="007A6C96" w:rsidRPr="00A15D90">
        <w:rPr>
          <w:rFonts w:asciiTheme="minorHAnsi" w:hAnsiTheme="minorHAnsi"/>
        </w:rPr>
        <w:t> </w:t>
      </w:r>
      <w:r w:rsidRPr="00A15D90">
        <w:rPr>
          <w:rFonts w:asciiTheme="minorHAnsi" w:hAnsiTheme="minorHAnsi"/>
        </w:rPr>
        <w:t>A</w:t>
      </w:r>
      <w:r w:rsidR="007A6C96" w:rsidRPr="00A15D90">
        <w:rPr>
          <w:rFonts w:asciiTheme="minorHAnsi" w:hAnsiTheme="minorHAnsi"/>
        </w:rPr>
        <w:t> </w:t>
      </w:r>
      <w:r w:rsidRPr="00A15D90">
        <w:rPr>
          <w:rFonts w:asciiTheme="minorHAnsi" w:hAnsiTheme="minorHAnsi"/>
        </w:rPr>
        <w:t xml:space="preserve">INŽENÝRSKÝCH STAVEB PROJEKTOVANÝCH OBJeDNATELEM </w:t>
      </w:r>
    </w:p>
    <w:p w14:paraId="5FC85DF7" w14:textId="07C6ACBA" w:rsidR="00D7685D" w:rsidRPr="00A15D90" w:rsidRDefault="00D7685D" w:rsidP="00D7685D">
      <w:pPr>
        <w:pStyle w:val="Nzev"/>
        <w:rPr>
          <w:rFonts w:asciiTheme="minorHAnsi" w:hAnsiTheme="minorHAnsi"/>
        </w:rPr>
      </w:pPr>
      <w:r w:rsidRPr="00A15D90">
        <w:rPr>
          <w:rFonts w:asciiTheme="minorHAnsi" w:hAnsiTheme="minorHAnsi"/>
        </w:rPr>
        <w:t>PŘÍLOHA K</w:t>
      </w:r>
      <w:r w:rsidR="00E12503" w:rsidRPr="00A15D90">
        <w:rPr>
          <w:rFonts w:asciiTheme="minorHAnsi" w:hAnsiTheme="minorHAnsi"/>
        </w:rPr>
        <w:t> </w:t>
      </w:r>
      <w:r w:rsidRPr="00A15D90">
        <w:rPr>
          <w:rFonts w:asciiTheme="minorHAnsi" w:hAnsiTheme="minorHAnsi"/>
        </w:rPr>
        <w:t>NABÍDCE</w:t>
      </w:r>
    </w:p>
    <w:p w14:paraId="58D59A93" w14:textId="0576B094" w:rsidR="00E12503" w:rsidRPr="00A15D90" w:rsidRDefault="00E12503" w:rsidP="00E12503">
      <w:pPr>
        <w:pStyle w:val="Bezmezer"/>
        <w:jc w:val="center"/>
      </w:pPr>
      <w:r w:rsidRPr="00A15D90">
        <w:t xml:space="preserve">podané do veřejné zakázky s názvem </w:t>
      </w:r>
      <w:r w:rsidR="006D4891">
        <w:t>„</w:t>
      </w:r>
      <w:r w:rsidR="000806AC">
        <w:t>M</w:t>
      </w:r>
      <w:r w:rsidR="000806AC" w:rsidRPr="000806AC">
        <w:t>ultifunkční sportovní a kulturní centrum (MFSKC) – Křižovatka 4. brána BVV</w:t>
      </w:r>
      <w:r w:rsidR="006D4891">
        <w:t>“</w:t>
      </w:r>
    </w:p>
    <w:p w14:paraId="43761253" w14:textId="39AACBDC" w:rsidR="0008203A" w:rsidRPr="00A15D90" w:rsidRDefault="0008203A" w:rsidP="00E12503">
      <w:pPr>
        <w:pStyle w:val="SML11"/>
        <w:numPr>
          <w:ilvl w:val="0"/>
          <w:numId w:val="0"/>
        </w:numPr>
        <w:rPr>
          <w:rFonts w:cs="Calibri"/>
          <w:szCs w:val="24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4394"/>
      </w:tblGrid>
      <w:tr w:rsidR="00714BD9" w:rsidRPr="00A15D90" w14:paraId="7E365ADD" w14:textId="77777777" w:rsidTr="7180809F">
        <w:trPr>
          <w:trHeight w:val="686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46F242" w14:textId="77777777" w:rsidR="00714BD9" w:rsidRPr="00A15D90" w:rsidRDefault="00714BD9" w:rsidP="00714BD9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Název Pod-článku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8FA98AF" w14:textId="00C7BFA1" w:rsidR="00714BD9" w:rsidRPr="00A15D90" w:rsidRDefault="00714BD9" w:rsidP="00714BD9">
            <w:pPr>
              <w:pStyle w:val="Zkladntext"/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Pod-článek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C05980" w14:textId="77777777" w:rsidR="00714BD9" w:rsidRPr="00A15D90" w:rsidRDefault="00714BD9" w:rsidP="005A0653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Údaje</w:t>
            </w:r>
          </w:p>
        </w:tc>
      </w:tr>
      <w:tr w:rsidR="00714BD9" w:rsidRPr="00A15D90" w14:paraId="1C2F2A71" w14:textId="77777777" w:rsidTr="7180809F">
        <w:trPr>
          <w:trHeight w:val="147"/>
        </w:trPr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0648C88D" w14:textId="7C456B7E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Název</w:t>
            </w:r>
            <w:r w:rsidR="00E12503" w:rsidRPr="00A15D90">
              <w:rPr>
                <w:rFonts w:cstheme="minorHAnsi"/>
                <w:sz w:val="24"/>
                <w:szCs w:val="24"/>
              </w:rPr>
              <w:t xml:space="preserve">, </w:t>
            </w:r>
            <w:r w:rsidRPr="00A15D90">
              <w:rPr>
                <w:rFonts w:cstheme="minorHAnsi"/>
                <w:sz w:val="24"/>
                <w:szCs w:val="24"/>
              </w:rPr>
              <w:t xml:space="preserve">adresa </w:t>
            </w:r>
            <w:r w:rsidR="00E12503" w:rsidRPr="00A15D90">
              <w:rPr>
                <w:rFonts w:cstheme="minorHAnsi"/>
                <w:sz w:val="24"/>
                <w:szCs w:val="24"/>
              </w:rPr>
              <w:t xml:space="preserve">a IČO </w:t>
            </w:r>
            <w:r w:rsidRPr="00A15D90">
              <w:rPr>
                <w:rFonts w:cstheme="minorHAnsi"/>
                <w:sz w:val="24"/>
                <w:szCs w:val="24"/>
              </w:rPr>
              <w:t xml:space="preserve">Objednatele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1426ADE" w14:textId="77777777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1.1.2.2, 1.3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14:paraId="2E49EE42" w14:textId="77777777" w:rsidR="00714BD9" w:rsidRPr="00A15D90" w:rsidRDefault="00E12503" w:rsidP="00A15D90">
            <w:pPr>
              <w:pStyle w:val="SML11"/>
              <w:numPr>
                <w:ilvl w:val="0"/>
                <w:numId w:val="0"/>
              </w:numPr>
              <w:ind w:left="567" w:hanging="567"/>
              <w:jc w:val="left"/>
              <w:rPr>
                <w:rStyle w:val="NormalUnderlined"/>
                <w:rFonts w:eastAsiaTheme="minorHAnsi" w:cstheme="minorHAnsi"/>
                <w:bCs w:val="0"/>
                <w:szCs w:val="24"/>
                <w:u w:val="none"/>
                <w:shd w:val="clear" w:color="auto" w:fill="auto"/>
                <w:lang w:eastAsia="en-US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Statutární město Brno </w:t>
            </w:r>
          </w:p>
          <w:p w14:paraId="1EC6CAB3" w14:textId="125744AE" w:rsidR="00E12503" w:rsidRPr="00A15D90" w:rsidRDefault="00E12503" w:rsidP="00A15D90">
            <w:pPr>
              <w:pStyle w:val="SML11"/>
              <w:numPr>
                <w:ilvl w:val="0"/>
                <w:numId w:val="0"/>
              </w:numPr>
              <w:jc w:val="left"/>
              <w:rPr>
                <w:rStyle w:val="NormalUnderlined"/>
                <w:u w:val="none"/>
              </w:rPr>
            </w:pPr>
            <w:r w:rsidRPr="00A15D90">
              <w:rPr>
                <w:rStyle w:val="NormalUnderlined"/>
                <w:u w:val="none"/>
              </w:rPr>
              <w:t xml:space="preserve">Dominikánské náměstí 196/1, </w:t>
            </w:r>
            <w:r w:rsidR="00F74BC8">
              <w:rPr>
                <w:rStyle w:val="NormalUnderlined"/>
                <w:u w:val="none"/>
              </w:rPr>
              <w:t xml:space="preserve">Brno-město, </w:t>
            </w:r>
            <w:r w:rsidRPr="00A15D90">
              <w:rPr>
                <w:rStyle w:val="NormalUnderlined"/>
                <w:u w:val="none"/>
              </w:rPr>
              <w:t xml:space="preserve">602 00 </w:t>
            </w:r>
            <w:r w:rsidR="002E51BA" w:rsidRPr="00A15D90">
              <w:rPr>
                <w:rStyle w:val="NormalUnderlined"/>
                <w:u w:val="none"/>
              </w:rPr>
              <w:t>Brno</w:t>
            </w:r>
            <w:r w:rsidR="002E51BA">
              <w:rPr>
                <w:rStyle w:val="NormalUnderlined"/>
                <w:u w:val="none"/>
              </w:rPr>
              <w:t xml:space="preserve"> – město</w:t>
            </w:r>
          </w:p>
          <w:p w14:paraId="5C0A8F7A" w14:textId="1C5F77AD" w:rsidR="00E12503" w:rsidRPr="00A15D90" w:rsidRDefault="00E12503" w:rsidP="00A15D90">
            <w:pPr>
              <w:pStyle w:val="SML1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A15D90">
              <w:rPr>
                <w:rStyle w:val="NormalUnderlined"/>
                <w:u w:val="none"/>
              </w:rPr>
              <w:t>IČO: 449 92 785</w:t>
            </w:r>
          </w:p>
        </w:tc>
      </w:tr>
      <w:tr w:rsidR="00714BD9" w:rsidRPr="00A15D90" w14:paraId="005700F8" w14:textId="77777777" w:rsidTr="7180809F">
        <w:trPr>
          <w:trHeight w:val="147"/>
        </w:trPr>
        <w:tc>
          <w:tcPr>
            <w:tcW w:w="2977" w:type="dxa"/>
            <w:vAlign w:val="center"/>
          </w:tcPr>
          <w:p w14:paraId="587BF2D6" w14:textId="77777777" w:rsidR="00714BD9" w:rsidRPr="00A15D90" w:rsidRDefault="00714BD9" w:rsidP="458A318E">
            <w:pPr>
              <w:pStyle w:val="Zkladntext"/>
              <w:rPr>
                <w:sz w:val="24"/>
                <w:szCs w:val="24"/>
              </w:rPr>
            </w:pPr>
            <w:r w:rsidRPr="7180809F">
              <w:rPr>
                <w:sz w:val="24"/>
                <w:szCs w:val="24"/>
              </w:rPr>
              <w:t xml:space="preserve">Název a adresa Zhotovitele </w:t>
            </w:r>
          </w:p>
        </w:tc>
        <w:tc>
          <w:tcPr>
            <w:tcW w:w="1418" w:type="dxa"/>
            <w:vAlign w:val="center"/>
          </w:tcPr>
          <w:p w14:paraId="261FE804" w14:textId="77777777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1.1.2.3, 1.3</w:t>
            </w:r>
          </w:p>
        </w:tc>
        <w:tc>
          <w:tcPr>
            <w:tcW w:w="4394" w:type="dxa"/>
            <w:vAlign w:val="center"/>
          </w:tcPr>
          <w:p w14:paraId="3114A6FD" w14:textId="42C26AE7" w:rsidR="00714BD9" w:rsidRPr="00A15D90" w:rsidRDefault="00714BD9" w:rsidP="005A0653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</w:t>
            </w:r>
            <w:r w:rsidR="000F4924"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bude doplněno podle údajů vybraného dodavatele</w:t>
            </w: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]</w:t>
            </w:r>
          </w:p>
        </w:tc>
      </w:tr>
      <w:tr w:rsidR="00714BD9" w:rsidRPr="00A15D90" w14:paraId="3CF980F6" w14:textId="77777777" w:rsidTr="7180809F">
        <w:trPr>
          <w:trHeight w:val="147"/>
        </w:trPr>
        <w:tc>
          <w:tcPr>
            <w:tcW w:w="2977" w:type="dxa"/>
            <w:vAlign w:val="center"/>
          </w:tcPr>
          <w:p w14:paraId="24CCE165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Jméno a adresa Správce stavby </w:t>
            </w:r>
          </w:p>
        </w:tc>
        <w:tc>
          <w:tcPr>
            <w:tcW w:w="1418" w:type="dxa"/>
            <w:vAlign w:val="center"/>
          </w:tcPr>
          <w:p w14:paraId="62EF951D" w14:textId="77777777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1.1.2.4</w:t>
            </w:r>
            <w:r w:rsidRPr="00A15D90">
              <w:rPr>
                <w:rFonts w:cstheme="minorHAnsi"/>
                <w:sz w:val="24"/>
                <w:szCs w:val="24"/>
              </w:rPr>
              <w:tab/>
              <w:t>, 1.3</w:t>
            </w:r>
          </w:p>
        </w:tc>
        <w:tc>
          <w:tcPr>
            <w:tcW w:w="4394" w:type="dxa"/>
            <w:vAlign w:val="center"/>
          </w:tcPr>
          <w:p w14:paraId="1C387552" w14:textId="378C0898" w:rsidR="00714BD9" w:rsidRPr="00A15D90" w:rsidRDefault="00714BD9" w:rsidP="005A0653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</w:t>
            </w:r>
            <w:r w:rsidR="0029426A"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bude doplněno před uzavřením smlouvy</w:t>
            </w: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]</w:t>
            </w:r>
          </w:p>
        </w:tc>
      </w:tr>
      <w:tr w:rsidR="00714BD9" w:rsidRPr="00A15D90" w14:paraId="02F00980" w14:textId="77777777" w:rsidTr="7180809F">
        <w:trPr>
          <w:trHeight w:val="147"/>
        </w:trPr>
        <w:tc>
          <w:tcPr>
            <w:tcW w:w="2977" w:type="dxa"/>
            <w:vAlign w:val="center"/>
          </w:tcPr>
          <w:p w14:paraId="4AD543B8" w14:textId="77777777" w:rsidR="00714BD9" w:rsidRPr="006979BB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 xml:space="preserve">Doba pro dokončení Díla </w:t>
            </w:r>
          </w:p>
        </w:tc>
        <w:tc>
          <w:tcPr>
            <w:tcW w:w="1418" w:type="dxa"/>
            <w:vAlign w:val="center"/>
          </w:tcPr>
          <w:p w14:paraId="7293C853" w14:textId="77777777" w:rsidR="00714BD9" w:rsidRPr="006979BB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1.1.3.3</w:t>
            </w:r>
          </w:p>
        </w:tc>
        <w:tc>
          <w:tcPr>
            <w:tcW w:w="4394" w:type="dxa"/>
            <w:vAlign w:val="center"/>
          </w:tcPr>
          <w:p w14:paraId="2A791A3B" w14:textId="43F89B43" w:rsidR="00714BD9" w:rsidRPr="006979BB" w:rsidRDefault="00546AD1" w:rsidP="458A318E">
            <w:pPr>
              <w:spacing w:before="60" w:afterLines="60" w:after="144"/>
              <w:rPr>
                <w:sz w:val="24"/>
                <w:szCs w:val="24"/>
              </w:rPr>
            </w:pPr>
            <w:r w:rsidRPr="458A318E">
              <w:rPr>
                <w:rStyle w:val="NormalUnderlined"/>
                <w:u w:val="none"/>
              </w:rPr>
              <w:t xml:space="preserve">12 </w:t>
            </w:r>
            <w:r w:rsidR="00550A91" w:rsidRPr="458A318E">
              <w:rPr>
                <w:rStyle w:val="NormalUnderlined"/>
                <w:u w:val="none"/>
              </w:rPr>
              <w:t xml:space="preserve">měsíců </w:t>
            </w:r>
          </w:p>
        </w:tc>
      </w:tr>
      <w:tr w:rsidR="00714BD9" w:rsidRPr="00A15D90" w14:paraId="5BA35648" w14:textId="77777777" w:rsidTr="7180809F">
        <w:trPr>
          <w:trHeight w:val="644"/>
        </w:trPr>
        <w:tc>
          <w:tcPr>
            <w:tcW w:w="2977" w:type="dxa"/>
            <w:vAlign w:val="center"/>
          </w:tcPr>
          <w:p w14:paraId="4DA93297" w14:textId="77777777" w:rsidR="00714BD9" w:rsidRPr="006979BB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 xml:space="preserve">Záruční doba </w:t>
            </w:r>
          </w:p>
        </w:tc>
        <w:tc>
          <w:tcPr>
            <w:tcW w:w="1418" w:type="dxa"/>
            <w:vAlign w:val="center"/>
          </w:tcPr>
          <w:p w14:paraId="6F06A272" w14:textId="33CEF380" w:rsidR="00714BD9" w:rsidRPr="006979BB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1.1.3.7</w:t>
            </w:r>
          </w:p>
        </w:tc>
        <w:tc>
          <w:tcPr>
            <w:tcW w:w="4394" w:type="dxa"/>
            <w:vAlign w:val="center"/>
          </w:tcPr>
          <w:p w14:paraId="6C92ED37" w14:textId="46F4B489" w:rsidR="00714BD9" w:rsidRPr="006979BB" w:rsidRDefault="00B7647F" w:rsidP="00A15D90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Style w:val="NormalUnderlined"/>
                <w:u w:val="none"/>
              </w:rPr>
              <w:t xml:space="preserve">60 </w:t>
            </w:r>
            <w:r w:rsidR="00AB2FEC" w:rsidRPr="006979BB">
              <w:rPr>
                <w:rStyle w:val="NormalUnderlined"/>
                <w:u w:val="none"/>
              </w:rPr>
              <w:t xml:space="preserve">měsíců </w:t>
            </w:r>
          </w:p>
        </w:tc>
      </w:tr>
      <w:tr w:rsidR="00714BD9" w:rsidRPr="00A15D90" w14:paraId="41E49CD8" w14:textId="77777777" w:rsidTr="7180809F">
        <w:trPr>
          <w:trHeight w:val="644"/>
        </w:trPr>
        <w:tc>
          <w:tcPr>
            <w:tcW w:w="2977" w:type="dxa"/>
            <w:vAlign w:val="center"/>
          </w:tcPr>
          <w:p w14:paraId="2431F960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Elektronické přenosové systémy</w:t>
            </w:r>
          </w:p>
        </w:tc>
        <w:tc>
          <w:tcPr>
            <w:tcW w:w="1418" w:type="dxa"/>
            <w:vAlign w:val="center"/>
          </w:tcPr>
          <w:p w14:paraId="2C389CF6" w14:textId="77777777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1.3</w:t>
            </w:r>
          </w:p>
        </w:tc>
        <w:tc>
          <w:tcPr>
            <w:tcW w:w="4394" w:type="dxa"/>
            <w:vAlign w:val="center"/>
          </w:tcPr>
          <w:p w14:paraId="783B51C5" w14:textId="77777777" w:rsidR="008059CE" w:rsidRPr="00A15D90" w:rsidRDefault="008059CE" w:rsidP="00A15D90">
            <w:pPr>
              <w:pStyle w:val="Zkladntext"/>
              <w:rPr>
                <w:rStyle w:val="NormalUnderlined"/>
                <w:rFonts w:cstheme="minorHAnsi"/>
                <w:b/>
                <w:bCs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b/>
                <w:bCs/>
                <w:szCs w:val="24"/>
                <w:u w:val="none"/>
              </w:rPr>
              <w:t>Datové schránky:</w:t>
            </w:r>
          </w:p>
          <w:p w14:paraId="16BCF193" w14:textId="51F84B49" w:rsidR="008059CE" w:rsidRPr="00A15D90" w:rsidRDefault="008059CE" w:rsidP="00A15D90">
            <w:pPr>
              <w:pStyle w:val="Zkladntext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ID datové schránky Objednatele: </w:t>
            </w: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[bude doplněno před uzavřením smlouvy]</w:t>
            </w:r>
          </w:p>
          <w:p w14:paraId="698C4361" w14:textId="67BF072A" w:rsidR="008059CE" w:rsidRPr="00A15D90" w:rsidRDefault="008059CE" w:rsidP="00A15D90">
            <w:pPr>
              <w:pStyle w:val="Zkladntext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ID datové schránky Zhotovitele: </w:t>
            </w: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[bude doplněno před uzavřením smlouvy]</w:t>
            </w:r>
          </w:p>
          <w:p w14:paraId="4501DC2B" w14:textId="77777777" w:rsidR="008059CE" w:rsidRPr="00A15D90" w:rsidRDefault="008059CE" w:rsidP="00A15D90">
            <w:pPr>
              <w:pStyle w:val="Zkladntext"/>
              <w:rPr>
                <w:rStyle w:val="NormalUnderlined"/>
                <w:rFonts w:cstheme="minorHAnsi"/>
                <w:b/>
                <w:bCs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b/>
                <w:bCs/>
                <w:szCs w:val="24"/>
                <w:u w:val="none"/>
              </w:rPr>
              <w:t>E-mailové schránky:</w:t>
            </w:r>
          </w:p>
          <w:p w14:paraId="7C980EC4" w14:textId="77777777" w:rsidR="00232601" w:rsidRPr="00A15D90" w:rsidRDefault="008059CE" w:rsidP="00A15D90">
            <w:pPr>
              <w:pStyle w:val="Zkladntext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E-mailová adresa Objednatele: </w:t>
            </w:r>
            <w:r w:rsidR="00232601"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[bude doplněno před uzavřením smlouvy]</w:t>
            </w:r>
          </w:p>
          <w:p w14:paraId="12EA4EFB" w14:textId="34BED725" w:rsidR="00714BD9" w:rsidRPr="00A15D90" w:rsidRDefault="008059CE" w:rsidP="00A15D90">
            <w:pPr>
              <w:pStyle w:val="Zkladntext"/>
              <w:rPr>
                <w:rStyle w:val="NormalUnderlined"/>
                <w:rFonts w:cstheme="minorHAnsi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E-mailová adresa Zhotovitele:</w:t>
            </w:r>
            <w:r w:rsidR="00232601"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 </w:t>
            </w:r>
            <w:r w:rsidR="00232601" w:rsidRPr="006D4891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[bude doplněno před uzavřením smlouvy]</w:t>
            </w:r>
            <w:r w:rsidR="00232601" w:rsidRPr="00A15D90" w:rsidDel="00B36CD1">
              <w:rPr>
                <w:rStyle w:val="NormalUnderlined"/>
                <w:rFonts w:cstheme="minorHAnsi"/>
                <w:szCs w:val="24"/>
                <w:u w:val="none"/>
              </w:rPr>
              <w:t xml:space="preserve"> </w:t>
            </w:r>
          </w:p>
        </w:tc>
      </w:tr>
      <w:tr w:rsidR="00714BD9" w:rsidRPr="00A15D90" w14:paraId="0865E814" w14:textId="77777777" w:rsidTr="7180809F">
        <w:trPr>
          <w:trHeight w:val="147"/>
        </w:trPr>
        <w:tc>
          <w:tcPr>
            <w:tcW w:w="2977" w:type="dxa"/>
            <w:vAlign w:val="center"/>
          </w:tcPr>
          <w:p w14:paraId="7A61E401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Rozhodné právo</w:t>
            </w:r>
          </w:p>
        </w:tc>
        <w:tc>
          <w:tcPr>
            <w:tcW w:w="1418" w:type="dxa"/>
            <w:vAlign w:val="center"/>
          </w:tcPr>
          <w:p w14:paraId="1874FCE4" w14:textId="25604A78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1.4</w:t>
            </w:r>
          </w:p>
        </w:tc>
        <w:tc>
          <w:tcPr>
            <w:tcW w:w="4394" w:type="dxa"/>
            <w:vAlign w:val="center"/>
          </w:tcPr>
          <w:p w14:paraId="5B167A7D" w14:textId="0400D3B7" w:rsidR="00714BD9" w:rsidRPr="00A15D90" w:rsidRDefault="006A57D8" w:rsidP="005A0653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u w:val="none"/>
              </w:rPr>
              <w:t>právo České republiky</w:t>
            </w:r>
          </w:p>
        </w:tc>
      </w:tr>
      <w:tr w:rsidR="00714BD9" w:rsidRPr="00A15D90" w14:paraId="4C7A1B02" w14:textId="77777777" w:rsidTr="7180809F">
        <w:trPr>
          <w:trHeight w:val="147"/>
        </w:trPr>
        <w:tc>
          <w:tcPr>
            <w:tcW w:w="2977" w:type="dxa"/>
            <w:vAlign w:val="center"/>
          </w:tcPr>
          <w:p w14:paraId="4884F280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Rozhodující jazyk </w:t>
            </w:r>
          </w:p>
        </w:tc>
        <w:tc>
          <w:tcPr>
            <w:tcW w:w="1418" w:type="dxa"/>
            <w:vAlign w:val="center"/>
          </w:tcPr>
          <w:p w14:paraId="2F57EAEC" w14:textId="77777777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1.4</w:t>
            </w:r>
          </w:p>
        </w:tc>
        <w:tc>
          <w:tcPr>
            <w:tcW w:w="4394" w:type="dxa"/>
            <w:vAlign w:val="center"/>
          </w:tcPr>
          <w:p w14:paraId="5ADC3214" w14:textId="7AC4C874" w:rsidR="00714BD9" w:rsidRPr="00A15D90" w:rsidRDefault="00E12503" w:rsidP="005A0653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český </w:t>
            </w:r>
          </w:p>
        </w:tc>
      </w:tr>
      <w:tr w:rsidR="00714BD9" w:rsidRPr="00A15D90" w14:paraId="627D1373" w14:textId="77777777" w:rsidTr="7180809F">
        <w:trPr>
          <w:trHeight w:val="147"/>
        </w:trPr>
        <w:tc>
          <w:tcPr>
            <w:tcW w:w="2977" w:type="dxa"/>
            <w:vAlign w:val="center"/>
          </w:tcPr>
          <w:p w14:paraId="036AEB3B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lastRenderedPageBreak/>
              <w:t xml:space="preserve">Komunikační jazyk </w:t>
            </w:r>
          </w:p>
        </w:tc>
        <w:tc>
          <w:tcPr>
            <w:tcW w:w="1418" w:type="dxa"/>
            <w:vAlign w:val="center"/>
          </w:tcPr>
          <w:p w14:paraId="37CEDF32" w14:textId="77777777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1.4</w:t>
            </w:r>
          </w:p>
        </w:tc>
        <w:tc>
          <w:tcPr>
            <w:tcW w:w="4394" w:type="dxa"/>
            <w:vAlign w:val="center"/>
          </w:tcPr>
          <w:p w14:paraId="165553D0" w14:textId="0B4EBF0C" w:rsidR="00714BD9" w:rsidRPr="00A15D90" w:rsidRDefault="00E12503" w:rsidP="005A0653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český </w:t>
            </w:r>
          </w:p>
        </w:tc>
      </w:tr>
      <w:tr w:rsidR="001B21D2" w:rsidRPr="00A15D90" w14:paraId="47D016E9" w14:textId="77777777" w:rsidTr="7180809F">
        <w:trPr>
          <w:trHeight w:val="147"/>
        </w:trPr>
        <w:tc>
          <w:tcPr>
            <w:tcW w:w="2977" w:type="dxa"/>
            <w:vAlign w:val="center"/>
          </w:tcPr>
          <w:p w14:paraId="2143286A" w14:textId="50FC6718" w:rsidR="001B21D2" w:rsidRPr="00A15D90" w:rsidRDefault="001B21D2" w:rsidP="00A15D90">
            <w:pPr>
              <w:jc w:val="both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Sekce</w:t>
            </w:r>
          </w:p>
        </w:tc>
        <w:tc>
          <w:tcPr>
            <w:tcW w:w="1418" w:type="dxa"/>
            <w:vAlign w:val="center"/>
          </w:tcPr>
          <w:p w14:paraId="28722567" w14:textId="2B944BF0" w:rsidR="001B21D2" w:rsidRPr="00A15D90" w:rsidRDefault="001B21D2" w:rsidP="00A7078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1.1.5.6.</w:t>
            </w:r>
          </w:p>
        </w:tc>
        <w:tc>
          <w:tcPr>
            <w:tcW w:w="4394" w:type="dxa"/>
            <w:vAlign w:val="center"/>
          </w:tcPr>
          <w:p w14:paraId="3E11B16A" w14:textId="2B88F978" w:rsidR="001B21D2" w:rsidRPr="00A15D90" w:rsidRDefault="001B21D2" w:rsidP="7B754F0F">
            <w:pPr>
              <w:rPr>
                <w:rStyle w:val="NormalUnderlined"/>
                <w:u w:val="none"/>
              </w:rPr>
            </w:pPr>
            <w:r w:rsidRPr="7180809F">
              <w:rPr>
                <w:rStyle w:val="NormalUnderlined"/>
                <w:u w:val="none"/>
              </w:rPr>
              <w:t xml:space="preserve">Dílo není rozděleno na Sekce. </w:t>
            </w:r>
          </w:p>
        </w:tc>
      </w:tr>
      <w:tr w:rsidR="00714BD9" w:rsidRPr="00A15D90" w14:paraId="2E8AD9EA" w14:textId="77777777" w:rsidTr="7180809F">
        <w:trPr>
          <w:trHeight w:val="147"/>
        </w:trPr>
        <w:tc>
          <w:tcPr>
            <w:tcW w:w="2977" w:type="dxa"/>
            <w:vAlign w:val="center"/>
          </w:tcPr>
          <w:p w14:paraId="73600827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Doba pro přístup na Staveniště</w:t>
            </w:r>
          </w:p>
        </w:tc>
        <w:tc>
          <w:tcPr>
            <w:tcW w:w="1418" w:type="dxa"/>
            <w:vAlign w:val="center"/>
          </w:tcPr>
          <w:p w14:paraId="4625B727" w14:textId="77777777" w:rsidR="00714BD9" w:rsidRPr="00A15D90" w:rsidRDefault="00714BD9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4394" w:type="dxa"/>
            <w:vAlign w:val="center"/>
          </w:tcPr>
          <w:p w14:paraId="2FF03E18" w14:textId="2055CF76" w:rsidR="00714BD9" w:rsidRPr="00A15D90" w:rsidRDefault="00854501" w:rsidP="005A0653">
            <w:pPr>
              <w:pStyle w:val="Zkladntext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sz w:val="24"/>
                <w:szCs w:val="24"/>
              </w:rPr>
              <w:t>Od Data zahájení prací na Staveništi oznámeného dle Pod-článku 8.1</w:t>
            </w:r>
          </w:p>
        </w:tc>
      </w:tr>
      <w:tr w:rsidR="00714BD9" w:rsidRPr="00A15D90" w14:paraId="3432AE87" w14:textId="77777777" w:rsidTr="7180809F">
        <w:trPr>
          <w:trHeight w:val="839"/>
        </w:trPr>
        <w:tc>
          <w:tcPr>
            <w:tcW w:w="2977" w:type="dxa"/>
            <w:vAlign w:val="center"/>
          </w:tcPr>
          <w:p w14:paraId="1FD6AC85" w14:textId="26B124D5" w:rsidR="00714BD9" w:rsidRPr="00A15D90" w:rsidRDefault="00012AE1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Výše Zajištění plnění smlouvy a doba platnosti bankovní záruky</w:t>
            </w:r>
          </w:p>
        </w:tc>
        <w:tc>
          <w:tcPr>
            <w:tcW w:w="1418" w:type="dxa"/>
            <w:vAlign w:val="center"/>
          </w:tcPr>
          <w:p w14:paraId="09A51AE0" w14:textId="77777777" w:rsidR="00714BD9" w:rsidRPr="00A15D90" w:rsidRDefault="00714BD9" w:rsidP="114D22BC">
            <w:pPr>
              <w:pStyle w:val="Zkladntext"/>
              <w:jc w:val="center"/>
              <w:rPr>
                <w:sz w:val="24"/>
                <w:szCs w:val="24"/>
              </w:rPr>
            </w:pPr>
            <w:r w:rsidRPr="7180809F">
              <w:rPr>
                <w:sz w:val="24"/>
                <w:szCs w:val="24"/>
              </w:rPr>
              <w:t>4.2</w:t>
            </w:r>
          </w:p>
        </w:tc>
        <w:tc>
          <w:tcPr>
            <w:tcW w:w="4394" w:type="dxa"/>
            <w:vAlign w:val="center"/>
          </w:tcPr>
          <w:p w14:paraId="08025A4D" w14:textId="77777777" w:rsidR="00371D7B" w:rsidRPr="0088712A" w:rsidRDefault="00371D7B" w:rsidP="7180809F">
            <w:pPr>
              <w:spacing w:before="60" w:afterLines="60" w:after="144"/>
              <w:jc w:val="both"/>
              <w:rPr>
                <w:rStyle w:val="NormalUnderlined"/>
                <w:u w:val="none"/>
              </w:rPr>
            </w:pPr>
            <w:r w:rsidRPr="7180809F">
              <w:rPr>
                <w:rStyle w:val="NormalUnderlined"/>
                <w:u w:val="none"/>
              </w:rPr>
              <w:t>Záruka za plnění a odstranění vad pro fázi výstavby: 10 % z Přijaté smluvní částky</w:t>
            </w:r>
          </w:p>
          <w:p w14:paraId="5D4EFFC3" w14:textId="160A4D4F" w:rsidR="00371D7B" w:rsidRPr="0088712A" w:rsidRDefault="00371D7B" w:rsidP="00D81AC9">
            <w:pPr>
              <w:spacing w:before="60" w:afterLines="60" w:after="144"/>
              <w:jc w:val="both"/>
              <w:rPr>
                <w:rStyle w:val="NormalUnderlined"/>
                <w:rFonts w:cstheme="minorHAnsi"/>
                <w:szCs w:val="24"/>
                <w:u w:val="none"/>
              </w:rPr>
            </w:pPr>
            <w:r w:rsidRPr="0088712A">
              <w:rPr>
                <w:rStyle w:val="NormalUnderlined"/>
                <w:rFonts w:cstheme="minorHAnsi"/>
                <w:szCs w:val="24"/>
                <w:u w:val="none"/>
              </w:rPr>
              <w:t>Fáze výstavby začíná Datem zahájení prací, a</w:t>
            </w:r>
            <w:r w:rsidR="000C4CE9" w:rsidRPr="0088712A">
              <w:rPr>
                <w:rStyle w:val="NormalUnderlined"/>
                <w:rFonts w:cstheme="minorHAnsi"/>
                <w:szCs w:val="24"/>
                <w:u w:val="none"/>
              </w:rPr>
              <w:t> </w:t>
            </w:r>
            <w:r w:rsidRPr="0088712A">
              <w:rPr>
                <w:rStyle w:val="NormalUnderlined"/>
                <w:rFonts w:cstheme="minorHAnsi"/>
                <w:szCs w:val="24"/>
                <w:u w:val="none"/>
              </w:rPr>
              <w:t>končí dnem následujícím po dni, kdy dojde k podepsání Potvrzení o převzetí Díla.</w:t>
            </w:r>
          </w:p>
          <w:p w14:paraId="3AB6CC4A" w14:textId="77777777" w:rsidR="00371D7B" w:rsidRPr="0088712A" w:rsidRDefault="00371D7B" w:rsidP="458A318E">
            <w:pPr>
              <w:spacing w:before="60" w:afterLines="60" w:after="144"/>
              <w:jc w:val="both"/>
              <w:rPr>
                <w:rStyle w:val="NormalUnderlined"/>
                <w:u w:val="none"/>
              </w:rPr>
            </w:pPr>
            <w:r w:rsidRPr="458A318E">
              <w:rPr>
                <w:rStyle w:val="NormalUnderlined"/>
                <w:u w:val="none"/>
              </w:rPr>
              <w:t>Záruka za plnění a odstranění vad pro fázi záruky: 5 % z Přijaté smluvní částky</w:t>
            </w:r>
          </w:p>
          <w:p w14:paraId="1E04AB77" w14:textId="086B4F0E" w:rsidR="00714BD9" w:rsidRPr="0088712A" w:rsidRDefault="00371D7B" w:rsidP="00D81AC9">
            <w:pPr>
              <w:spacing w:before="60" w:afterLines="60" w:after="144"/>
              <w:jc w:val="both"/>
              <w:rPr>
                <w:rFonts w:cstheme="minorHAnsi"/>
                <w:sz w:val="24"/>
                <w:szCs w:val="24"/>
              </w:rPr>
            </w:pPr>
            <w:r w:rsidRPr="0088712A">
              <w:rPr>
                <w:rStyle w:val="NormalUnderlined"/>
                <w:rFonts w:cstheme="minorHAnsi"/>
                <w:szCs w:val="24"/>
                <w:u w:val="none"/>
              </w:rPr>
              <w:t>Fáze záruky začíná dnem následujícím po dni, kdy dojde k podepsání Potvrzení o převzetí Díla a končí uplynutím posledního dne nejdéle trvající Záruční doby, včetně všech případných prodloužení.</w:t>
            </w:r>
          </w:p>
        </w:tc>
      </w:tr>
      <w:tr w:rsidR="002F767F" w:rsidRPr="00A15D90" w14:paraId="338A9E75" w14:textId="77777777" w:rsidTr="002E51BA">
        <w:trPr>
          <w:trHeight w:val="10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46F8" w14:textId="77777777" w:rsidR="002F767F" w:rsidRPr="00A15D90" w:rsidRDefault="002F767F" w:rsidP="005A0653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Minimální částka Potvrzení průběžné platby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65A5" w14:textId="77777777" w:rsidR="002F767F" w:rsidRPr="00A15D90" w:rsidRDefault="002F767F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14.6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44B5" w14:textId="234B354F" w:rsidR="002F767F" w:rsidRPr="0088712A" w:rsidRDefault="00425F6D" w:rsidP="00A15D90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88712A">
              <w:rPr>
                <w:rStyle w:val="NormalUnderlined"/>
                <w:rFonts w:cstheme="minorHAnsi"/>
                <w:szCs w:val="24"/>
                <w:u w:val="none"/>
              </w:rPr>
              <w:t>30</w:t>
            </w:r>
            <w:r w:rsidR="002F767F" w:rsidRPr="0088712A">
              <w:rPr>
                <w:rFonts w:cstheme="minorHAnsi"/>
                <w:sz w:val="24"/>
                <w:szCs w:val="24"/>
              </w:rPr>
              <w:t xml:space="preserve"> % Přijaté smluvní částky</w:t>
            </w:r>
            <w:r w:rsidRPr="0088712A">
              <w:rPr>
                <w:rFonts w:cstheme="minorHAnsi"/>
                <w:sz w:val="24"/>
                <w:szCs w:val="24"/>
              </w:rPr>
              <w:t xml:space="preserve"> (bez DPH)</w:t>
            </w:r>
          </w:p>
        </w:tc>
      </w:tr>
      <w:tr w:rsidR="002F767F" w:rsidRPr="00A15D90" w14:paraId="047A3F42" w14:textId="77777777" w:rsidTr="7180809F">
        <w:trPr>
          <w:trHeight w:val="1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CC03" w14:textId="77777777" w:rsidR="002F767F" w:rsidRPr="00A15D90" w:rsidRDefault="002F767F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Měny platby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8834E" w14:textId="77777777" w:rsidR="002F767F" w:rsidRPr="00A15D90" w:rsidRDefault="002F767F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14.15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169C" w14:textId="040EBA6D" w:rsidR="002F767F" w:rsidRPr="00A15D90" w:rsidRDefault="002F767F" w:rsidP="6A7D68E2">
            <w:pPr>
              <w:spacing w:before="60" w:afterLines="60" w:after="144"/>
              <w:rPr>
                <w:sz w:val="24"/>
                <w:szCs w:val="24"/>
              </w:rPr>
            </w:pPr>
            <w:r w:rsidRPr="7180809F">
              <w:rPr>
                <w:rStyle w:val="NormalUnderlined"/>
                <w:u w:val="none"/>
              </w:rPr>
              <w:t>tak, jak je uvedeno v Dopisu nabídky</w:t>
            </w:r>
          </w:p>
        </w:tc>
      </w:tr>
    </w:tbl>
    <w:p w14:paraId="45EC589A" w14:textId="77777777" w:rsidR="00A80718" w:rsidRPr="00A15D90" w:rsidRDefault="00A80718" w:rsidP="00A80718">
      <w:pPr>
        <w:rPr>
          <w:rStyle w:val="NormalUnderlined"/>
          <w:rFonts w:cstheme="minorHAnsi"/>
          <w:szCs w:val="24"/>
          <w:u w:val="none"/>
        </w:rPr>
      </w:pPr>
    </w:p>
    <w:p w14:paraId="4F638A00" w14:textId="2D1AEDB4" w:rsidR="00A80718" w:rsidRPr="00A15D90" w:rsidRDefault="00A80718" w:rsidP="00A80718">
      <w:pPr>
        <w:rPr>
          <w:rStyle w:val="NormalUnderlined"/>
          <w:rFonts w:cstheme="minorHAnsi"/>
          <w:szCs w:val="24"/>
          <w:u w:val="none"/>
        </w:rPr>
      </w:pPr>
      <w:r w:rsidRPr="00A15D90">
        <w:rPr>
          <w:rStyle w:val="NormalUnderlined"/>
          <w:rFonts w:cstheme="minorHAnsi"/>
          <w:szCs w:val="24"/>
          <w:u w:val="none"/>
        </w:rPr>
        <w:t>Vymezení výše smluvních pokut ve smyslu Pod-článku 4.25, za porušení následujících povinností Zhotovitele: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4394"/>
      </w:tblGrid>
      <w:tr w:rsidR="00A80718" w:rsidRPr="00A15D90" w14:paraId="5935E961" w14:textId="77777777" w:rsidTr="002D19CA">
        <w:trPr>
          <w:trHeight w:val="686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B20B93" w14:textId="77777777" w:rsidR="00A80718" w:rsidRPr="00A15D90" w:rsidRDefault="00A80718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Název Pod-článku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72DD9F" w14:textId="77777777" w:rsidR="00A80718" w:rsidRPr="00A15D90" w:rsidRDefault="00A80718">
            <w:pPr>
              <w:pStyle w:val="Zkladntext"/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Pod-článek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ACE0B9" w14:textId="77777777" w:rsidR="00A80718" w:rsidRPr="00A15D90" w:rsidRDefault="00A80718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Údaje</w:t>
            </w:r>
          </w:p>
        </w:tc>
      </w:tr>
      <w:tr w:rsidR="00A80718" w:rsidRPr="00A15D90" w14:paraId="556B102F" w14:textId="77777777" w:rsidTr="00A70780">
        <w:trPr>
          <w:trHeight w:val="147"/>
        </w:trPr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044715B8" w14:textId="03F9D2F5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Zhotovitel je v prodlení s předložením Záruky za plnění a odstranění vad (Pod-článek 4.2 [Zajištění splnění smlouvy]) a/nebo udržováním této záruky v</w:t>
            </w:r>
            <w:r w:rsidR="00A56AA2">
              <w:rPr>
                <w:rFonts w:cstheme="minorHAnsi"/>
                <w:sz w:val="24"/>
                <w:szCs w:val="24"/>
              </w:rPr>
              <w:t> </w:t>
            </w:r>
            <w:r w:rsidRPr="00A15D90">
              <w:rPr>
                <w:rFonts w:cstheme="minorHAnsi"/>
                <w:sz w:val="24"/>
                <w:szCs w:val="24"/>
              </w:rPr>
              <w:t>platnosti a požadované výši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618E167" w14:textId="77777777" w:rsidR="00A80718" w:rsidRPr="00A15D90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4.25.a)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14:paraId="738BF0AD" w14:textId="1748DCF0" w:rsidR="00A80718" w:rsidRPr="006979BB" w:rsidRDefault="009D114F">
            <w:pPr>
              <w:pStyle w:val="SML11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6979BB">
              <w:rPr>
                <w:rFonts w:asciiTheme="minorHAnsi" w:hAnsiTheme="minorHAnsi" w:cstheme="minorHAnsi"/>
                <w:szCs w:val="24"/>
              </w:rPr>
              <w:t>5</w:t>
            </w:r>
            <w:r w:rsidR="00A80718" w:rsidRPr="006979BB">
              <w:rPr>
                <w:rFonts w:asciiTheme="minorHAnsi" w:hAnsiTheme="minorHAnsi" w:cstheme="minorHAnsi"/>
                <w:szCs w:val="24"/>
              </w:rPr>
              <w:t>.000 Kč (jednorázově za každé jednotlivé porušení)</w:t>
            </w:r>
          </w:p>
          <w:p w14:paraId="5A9D08E5" w14:textId="77777777" w:rsidR="00A80718" w:rsidRPr="006979BB" w:rsidRDefault="00A80718">
            <w:pPr>
              <w:pStyle w:val="SML11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80718" w:rsidRPr="00A15D90" w14:paraId="1A871836" w14:textId="77777777" w:rsidTr="00A70780">
        <w:trPr>
          <w:trHeight w:val="147"/>
        </w:trPr>
        <w:tc>
          <w:tcPr>
            <w:tcW w:w="2977" w:type="dxa"/>
            <w:vAlign w:val="center"/>
          </w:tcPr>
          <w:p w14:paraId="0758B07F" w14:textId="7D171452" w:rsidR="00A80718" w:rsidRPr="006979BB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lastRenderedPageBreak/>
              <w:t>Zhotovitel poruší povinnost plnit osobně části Díla, u</w:t>
            </w:r>
            <w:r w:rsidR="009B624E" w:rsidRPr="006979BB">
              <w:rPr>
                <w:rFonts w:cstheme="minorHAnsi"/>
                <w:sz w:val="24"/>
                <w:szCs w:val="24"/>
              </w:rPr>
              <w:t> </w:t>
            </w:r>
            <w:r w:rsidRPr="006979BB">
              <w:rPr>
                <w:rFonts w:cstheme="minorHAnsi"/>
                <w:sz w:val="24"/>
                <w:szCs w:val="24"/>
              </w:rPr>
              <w:t>nichž si Objednatel v</w:t>
            </w:r>
            <w:r w:rsidR="009B624E" w:rsidRPr="006979BB">
              <w:rPr>
                <w:rFonts w:cstheme="minorHAnsi"/>
                <w:sz w:val="24"/>
                <w:szCs w:val="24"/>
              </w:rPr>
              <w:t> </w:t>
            </w:r>
            <w:r w:rsidRPr="006979BB">
              <w:rPr>
                <w:rFonts w:cstheme="minorHAnsi"/>
                <w:sz w:val="24"/>
                <w:szCs w:val="24"/>
              </w:rPr>
              <w:t>Zadávacích podmínkách vyhradil, že nesmí být plněna Podzhotoviteli podle Pod-článku 4.4 [Podzhotovitelé]</w:t>
            </w:r>
          </w:p>
        </w:tc>
        <w:tc>
          <w:tcPr>
            <w:tcW w:w="1418" w:type="dxa"/>
            <w:vAlign w:val="center"/>
          </w:tcPr>
          <w:p w14:paraId="7077AE4F" w14:textId="77777777" w:rsidR="00A80718" w:rsidRPr="006979BB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4.25.b)</w:t>
            </w:r>
          </w:p>
        </w:tc>
        <w:tc>
          <w:tcPr>
            <w:tcW w:w="4394" w:type="dxa"/>
            <w:vAlign w:val="center"/>
          </w:tcPr>
          <w:p w14:paraId="3A66F30D" w14:textId="6150905E" w:rsidR="00A80718" w:rsidRPr="006979BB" w:rsidRDefault="00985A55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25</w:t>
            </w:r>
            <w:r w:rsidR="00A80718" w:rsidRPr="006979BB">
              <w:rPr>
                <w:rFonts w:cstheme="minorHAnsi"/>
                <w:sz w:val="24"/>
                <w:szCs w:val="24"/>
              </w:rPr>
              <w:t>.000 Kč (jednorázově za každé jednotlivé porušení)</w:t>
            </w:r>
          </w:p>
        </w:tc>
      </w:tr>
      <w:tr w:rsidR="00A80718" w:rsidRPr="00A15D90" w14:paraId="766E6023" w14:textId="77777777" w:rsidTr="00A70780">
        <w:trPr>
          <w:trHeight w:val="147"/>
        </w:trPr>
        <w:tc>
          <w:tcPr>
            <w:tcW w:w="2977" w:type="dxa"/>
            <w:vAlign w:val="center"/>
          </w:tcPr>
          <w:p w14:paraId="4BB884F7" w14:textId="3E5087B0" w:rsidR="00A80718" w:rsidRPr="006979BB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 xml:space="preserve">Zhotovitel nesplní </w:t>
            </w:r>
            <w:r w:rsidR="00146423" w:rsidRPr="006979BB">
              <w:rPr>
                <w:rFonts w:cstheme="minorHAnsi"/>
                <w:sz w:val="24"/>
                <w:szCs w:val="24"/>
              </w:rPr>
              <w:t>Z</w:t>
            </w:r>
            <w:r w:rsidRPr="006979BB">
              <w:rPr>
                <w:rFonts w:cstheme="minorHAnsi"/>
                <w:sz w:val="24"/>
                <w:szCs w:val="24"/>
              </w:rPr>
              <w:t>ávazný milník podle Pod-článku 4.26 [</w:t>
            </w:r>
            <w:r w:rsidR="00146423" w:rsidRPr="006979BB">
              <w:rPr>
                <w:rFonts w:cstheme="minorHAnsi"/>
                <w:sz w:val="24"/>
                <w:szCs w:val="24"/>
              </w:rPr>
              <w:t>Z</w:t>
            </w:r>
            <w:r w:rsidRPr="006979BB">
              <w:rPr>
                <w:rFonts w:cstheme="minorHAnsi"/>
                <w:sz w:val="24"/>
                <w:szCs w:val="24"/>
              </w:rPr>
              <w:t>ávazn</w:t>
            </w:r>
            <w:r w:rsidR="00B4730B" w:rsidRPr="006979BB">
              <w:rPr>
                <w:rFonts w:cstheme="minorHAnsi"/>
                <w:sz w:val="24"/>
                <w:szCs w:val="24"/>
              </w:rPr>
              <w:t>ý</w:t>
            </w:r>
            <w:r w:rsidRPr="006979BB">
              <w:rPr>
                <w:rFonts w:cstheme="minorHAnsi"/>
                <w:sz w:val="24"/>
                <w:szCs w:val="24"/>
              </w:rPr>
              <w:t xml:space="preserve"> milník]</w:t>
            </w:r>
          </w:p>
        </w:tc>
        <w:tc>
          <w:tcPr>
            <w:tcW w:w="1418" w:type="dxa"/>
            <w:vAlign w:val="center"/>
          </w:tcPr>
          <w:p w14:paraId="00D1DE29" w14:textId="77777777" w:rsidR="00A80718" w:rsidRPr="006979BB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4.25.c)</w:t>
            </w:r>
          </w:p>
        </w:tc>
        <w:tc>
          <w:tcPr>
            <w:tcW w:w="4394" w:type="dxa"/>
            <w:vAlign w:val="center"/>
          </w:tcPr>
          <w:p w14:paraId="0E4489FD" w14:textId="6ABF544A" w:rsidR="00A80718" w:rsidRPr="006979BB" w:rsidRDefault="009D114F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5</w:t>
            </w:r>
            <w:r w:rsidR="00A80718" w:rsidRPr="006979BB">
              <w:rPr>
                <w:rFonts w:cstheme="minorHAnsi"/>
                <w:sz w:val="24"/>
                <w:szCs w:val="24"/>
              </w:rPr>
              <w:t>.000 Kč (za každý započatý den trvání porušení)</w:t>
            </w:r>
          </w:p>
        </w:tc>
      </w:tr>
      <w:tr w:rsidR="00A80718" w:rsidRPr="00A15D90" w14:paraId="2A748586" w14:textId="77777777" w:rsidTr="00A70780">
        <w:trPr>
          <w:trHeight w:val="147"/>
        </w:trPr>
        <w:tc>
          <w:tcPr>
            <w:tcW w:w="2977" w:type="dxa"/>
            <w:vAlign w:val="center"/>
          </w:tcPr>
          <w:p w14:paraId="036B1106" w14:textId="77777777" w:rsidR="00A80718" w:rsidRPr="006979BB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Zhotovitel nedodrží lhůty (a další časová určení) stanovené jemu v rozhodnutí příslušného veřejnoprávního orgánu podle Pod-článku 4.27 [Pokyny a příkazy při omezení provozu na pozemních komunikacích];</w:t>
            </w:r>
          </w:p>
        </w:tc>
        <w:tc>
          <w:tcPr>
            <w:tcW w:w="1418" w:type="dxa"/>
            <w:vAlign w:val="center"/>
          </w:tcPr>
          <w:p w14:paraId="3D78B712" w14:textId="77777777" w:rsidR="00A80718" w:rsidRPr="006979BB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4.25.d)</w:t>
            </w:r>
          </w:p>
        </w:tc>
        <w:tc>
          <w:tcPr>
            <w:tcW w:w="4394" w:type="dxa"/>
            <w:vAlign w:val="center"/>
          </w:tcPr>
          <w:p w14:paraId="5B14079A" w14:textId="49119B89" w:rsidR="00A80718" w:rsidRPr="006979BB" w:rsidRDefault="00061831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1</w:t>
            </w:r>
            <w:r w:rsidR="00A80718" w:rsidRPr="006979BB">
              <w:rPr>
                <w:rFonts w:cstheme="minorHAnsi"/>
                <w:sz w:val="24"/>
                <w:szCs w:val="24"/>
              </w:rPr>
              <w:t>0.000 Kč (za každý den, o který nebude dodržena lhůta a další časové určení)</w:t>
            </w:r>
          </w:p>
        </w:tc>
      </w:tr>
      <w:tr w:rsidR="00A80718" w:rsidRPr="00A15D90" w14:paraId="69C5EC77" w14:textId="77777777" w:rsidTr="00A70780">
        <w:trPr>
          <w:trHeight w:val="644"/>
        </w:trPr>
        <w:tc>
          <w:tcPr>
            <w:tcW w:w="2977" w:type="dxa"/>
            <w:vAlign w:val="center"/>
          </w:tcPr>
          <w:p w14:paraId="6969D12E" w14:textId="77777777" w:rsidR="00A80718" w:rsidRPr="006979BB" w:rsidRDefault="00A80718" w:rsidP="00B4730B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Zhotovitel přes pokyn Správce stavby ke zjednání nápravy neplní povinnosti podle Pod-článku 6.7 [Ochrana zdraví a bezpečnost při práci]</w:t>
            </w:r>
          </w:p>
        </w:tc>
        <w:tc>
          <w:tcPr>
            <w:tcW w:w="1418" w:type="dxa"/>
            <w:vAlign w:val="center"/>
          </w:tcPr>
          <w:p w14:paraId="1B8ABE22" w14:textId="4C76BD13" w:rsidR="00A80718" w:rsidRPr="006979BB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4.25.</w:t>
            </w:r>
            <w:r w:rsidR="009317EC" w:rsidRPr="006979BB">
              <w:rPr>
                <w:rFonts w:cstheme="minorHAnsi"/>
                <w:sz w:val="24"/>
                <w:szCs w:val="24"/>
              </w:rPr>
              <w:t>e</w:t>
            </w:r>
            <w:r w:rsidRPr="006979BB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394" w:type="dxa"/>
            <w:vAlign w:val="center"/>
          </w:tcPr>
          <w:p w14:paraId="34ACF1D3" w14:textId="77777777" w:rsidR="00A80718" w:rsidRPr="006979BB" w:rsidRDefault="00A80718">
            <w:pPr>
              <w:pStyle w:val="Zkladntext"/>
              <w:jc w:val="both"/>
              <w:rPr>
                <w:rStyle w:val="NormalUnderlined"/>
                <w:rFonts w:cstheme="minorHAnsi"/>
                <w:szCs w:val="24"/>
                <w:u w:val="none"/>
              </w:rPr>
            </w:pPr>
            <w:r w:rsidRPr="006979BB">
              <w:rPr>
                <w:rStyle w:val="NormalUnderlined"/>
                <w:rFonts w:cstheme="minorHAnsi"/>
                <w:szCs w:val="24"/>
                <w:u w:val="none"/>
              </w:rPr>
              <w:t>0,5 % z Přijaté smluvní částky (jednorázově)</w:t>
            </w:r>
          </w:p>
        </w:tc>
      </w:tr>
      <w:tr w:rsidR="00A80718" w:rsidRPr="00A15D90" w14:paraId="401B7F52" w14:textId="77777777" w:rsidTr="00A70780">
        <w:trPr>
          <w:trHeight w:val="147"/>
        </w:trPr>
        <w:tc>
          <w:tcPr>
            <w:tcW w:w="2977" w:type="dxa"/>
            <w:vAlign w:val="center"/>
          </w:tcPr>
          <w:p w14:paraId="690D6FA3" w14:textId="77777777" w:rsidR="00A80718" w:rsidRPr="006979BB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Zhotovitel poruší povinnost podle třetího a čtvrtého odstavce Pod-článku 6.9 [Personál zhotovitele]</w:t>
            </w:r>
          </w:p>
        </w:tc>
        <w:tc>
          <w:tcPr>
            <w:tcW w:w="1418" w:type="dxa"/>
            <w:vAlign w:val="center"/>
          </w:tcPr>
          <w:p w14:paraId="4380BB52" w14:textId="0240500F" w:rsidR="00A80718" w:rsidRPr="006979BB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4.25.</w:t>
            </w:r>
            <w:r w:rsidR="009317EC" w:rsidRPr="006979BB">
              <w:rPr>
                <w:rFonts w:cstheme="minorHAnsi"/>
                <w:sz w:val="24"/>
                <w:szCs w:val="24"/>
              </w:rPr>
              <w:t>f</w:t>
            </w:r>
            <w:r w:rsidRPr="006979BB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394" w:type="dxa"/>
            <w:vAlign w:val="center"/>
          </w:tcPr>
          <w:p w14:paraId="3C9F2356" w14:textId="784BEDDE" w:rsidR="00A80718" w:rsidRPr="006979BB" w:rsidRDefault="00061831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5</w:t>
            </w:r>
            <w:r w:rsidR="00A80718" w:rsidRPr="006979BB">
              <w:rPr>
                <w:rFonts w:cstheme="minorHAnsi"/>
                <w:sz w:val="24"/>
                <w:szCs w:val="24"/>
              </w:rPr>
              <w:t>0.000 Kč (jednorázově za každé jednotlivé porušení)</w:t>
            </w:r>
          </w:p>
        </w:tc>
      </w:tr>
      <w:tr w:rsidR="00A80718" w:rsidRPr="00A15D90" w14:paraId="69D3980F" w14:textId="77777777" w:rsidTr="00A70780">
        <w:trPr>
          <w:trHeight w:val="147"/>
        </w:trPr>
        <w:tc>
          <w:tcPr>
            <w:tcW w:w="2977" w:type="dxa"/>
            <w:vAlign w:val="center"/>
          </w:tcPr>
          <w:p w14:paraId="79F047E6" w14:textId="77777777" w:rsidR="00A80718" w:rsidRPr="006979BB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Zhotovitel poruší povinnost dle Pod-článku 6.12 [Realizační tým zhotovitele]</w:t>
            </w:r>
          </w:p>
        </w:tc>
        <w:tc>
          <w:tcPr>
            <w:tcW w:w="1418" w:type="dxa"/>
            <w:vAlign w:val="center"/>
          </w:tcPr>
          <w:p w14:paraId="12033DF7" w14:textId="13F1541E" w:rsidR="00A80718" w:rsidRPr="006979BB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4.25.</w:t>
            </w:r>
            <w:r w:rsidR="009317EC" w:rsidRPr="006979BB">
              <w:rPr>
                <w:rFonts w:cstheme="minorHAnsi"/>
                <w:sz w:val="24"/>
                <w:szCs w:val="24"/>
              </w:rPr>
              <w:t>g</w:t>
            </w:r>
            <w:r w:rsidRPr="006979BB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394" w:type="dxa"/>
            <w:vAlign w:val="center"/>
          </w:tcPr>
          <w:p w14:paraId="216CE681" w14:textId="2C34ADAF" w:rsidR="00A80718" w:rsidRPr="006979BB" w:rsidRDefault="000C719C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1</w:t>
            </w:r>
            <w:r w:rsidR="00A80718" w:rsidRPr="006979BB">
              <w:rPr>
                <w:rFonts w:cstheme="minorHAnsi"/>
                <w:sz w:val="24"/>
                <w:szCs w:val="24"/>
              </w:rPr>
              <w:t>0.000 Kč (jednorázově za každé jednotlivé porušení)</w:t>
            </w:r>
          </w:p>
        </w:tc>
      </w:tr>
      <w:tr w:rsidR="00A80718" w:rsidRPr="00A15D90" w14:paraId="5E626636" w14:textId="77777777" w:rsidTr="00A70780">
        <w:trPr>
          <w:trHeight w:val="147"/>
        </w:trPr>
        <w:tc>
          <w:tcPr>
            <w:tcW w:w="2977" w:type="dxa"/>
            <w:vAlign w:val="center"/>
          </w:tcPr>
          <w:p w14:paraId="757D764D" w14:textId="77777777" w:rsidR="00A80718" w:rsidRPr="006979BB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lastRenderedPageBreak/>
              <w:t>Zhotovitel poruší povinnost dle Pod-článku 6.13 [Zákaz výkonu nelegální práce]</w:t>
            </w:r>
          </w:p>
        </w:tc>
        <w:tc>
          <w:tcPr>
            <w:tcW w:w="1418" w:type="dxa"/>
            <w:vAlign w:val="center"/>
          </w:tcPr>
          <w:p w14:paraId="693055AA" w14:textId="7BF7E18C" w:rsidR="00A80718" w:rsidRPr="006979BB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4.25.</w:t>
            </w:r>
            <w:r w:rsidR="009317EC" w:rsidRPr="006979BB">
              <w:rPr>
                <w:rFonts w:cstheme="minorHAnsi"/>
                <w:sz w:val="24"/>
                <w:szCs w:val="24"/>
              </w:rPr>
              <w:t>h</w:t>
            </w:r>
            <w:r w:rsidRPr="006979BB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394" w:type="dxa"/>
            <w:vAlign w:val="center"/>
          </w:tcPr>
          <w:p w14:paraId="7E5357F6" w14:textId="6F94A2EE" w:rsidR="00A80718" w:rsidRPr="006979BB" w:rsidRDefault="000C719C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1</w:t>
            </w:r>
            <w:r w:rsidR="00A80718" w:rsidRPr="006979BB">
              <w:rPr>
                <w:rFonts w:cstheme="minorHAnsi"/>
                <w:sz w:val="24"/>
                <w:szCs w:val="24"/>
              </w:rPr>
              <w:t>0.000 Kč (jednorázově za každé jednotlivé porušení)</w:t>
            </w:r>
          </w:p>
        </w:tc>
      </w:tr>
      <w:tr w:rsidR="00A80718" w:rsidRPr="00A15D90" w14:paraId="008D5E7E" w14:textId="77777777" w:rsidTr="00A70780">
        <w:trPr>
          <w:trHeight w:val="147"/>
        </w:trPr>
        <w:tc>
          <w:tcPr>
            <w:tcW w:w="2977" w:type="dxa"/>
            <w:vAlign w:val="center"/>
          </w:tcPr>
          <w:p w14:paraId="7FF80A64" w14:textId="77777777" w:rsidR="00A80718" w:rsidRPr="006979BB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Zhotovitel nepředloží ve stanoveném termínu řídící nebo jakýkoli aktualizovaný Harmonogram podle Pod-článku 8.3 [Harmonogram] ani po dodatečné výzvě Správce stavby</w:t>
            </w:r>
          </w:p>
        </w:tc>
        <w:tc>
          <w:tcPr>
            <w:tcW w:w="1418" w:type="dxa"/>
            <w:vAlign w:val="center"/>
          </w:tcPr>
          <w:p w14:paraId="69B3AA4B" w14:textId="343B7408" w:rsidR="00A80718" w:rsidRPr="006979BB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4.25.</w:t>
            </w:r>
            <w:r w:rsidR="009317EC" w:rsidRPr="006979BB">
              <w:rPr>
                <w:rFonts w:cstheme="minorHAnsi"/>
                <w:sz w:val="24"/>
                <w:szCs w:val="24"/>
              </w:rPr>
              <w:t>i</w:t>
            </w:r>
            <w:r w:rsidRPr="006979BB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394" w:type="dxa"/>
            <w:vAlign w:val="center"/>
          </w:tcPr>
          <w:p w14:paraId="2C98E4C7" w14:textId="67DF1C36" w:rsidR="00A80718" w:rsidRPr="006979BB" w:rsidRDefault="00C20BA5">
            <w:pPr>
              <w:pStyle w:val="Zkladntext"/>
              <w:rPr>
                <w:rStyle w:val="NormalUnderlined"/>
                <w:rFonts w:cstheme="minorHAnsi"/>
                <w:szCs w:val="24"/>
                <w:u w:val="none"/>
              </w:rPr>
            </w:pPr>
            <w:r w:rsidRPr="006979BB">
              <w:rPr>
                <w:rStyle w:val="NormalUnderlined"/>
                <w:rFonts w:cstheme="minorHAnsi"/>
                <w:szCs w:val="24"/>
                <w:u w:val="none"/>
              </w:rPr>
              <w:t>25</w:t>
            </w:r>
            <w:r w:rsidR="00A80718" w:rsidRPr="006979BB">
              <w:rPr>
                <w:rStyle w:val="NormalUnderlined"/>
                <w:rFonts w:cstheme="minorHAnsi"/>
                <w:szCs w:val="24"/>
                <w:u w:val="none"/>
              </w:rPr>
              <w:t>.000 Kč (jednorázově za každé jednotlivé porušení)</w:t>
            </w:r>
          </w:p>
        </w:tc>
      </w:tr>
      <w:tr w:rsidR="00A80718" w:rsidRPr="00A15D90" w14:paraId="2945A7FE" w14:textId="77777777" w:rsidTr="00A70780">
        <w:trPr>
          <w:trHeight w:val="839"/>
        </w:trPr>
        <w:tc>
          <w:tcPr>
            <w:tcW w:w="2977" w:type="dxa"/>
            <w:vAlign w:val="center"/>
          </w:tcPr>
          <w:p w14:paraId="4A6EC417" w14:textId="77777777" w:rsidR="00A80718" w:rsidRPr="006979BB" w:rsidRDefault="00A80718">
            <w:pPr>
              <w:pStyle w:val="Zkladntext"/>
              <w:rPr>
                <w:rFonts w:cstheme="minorHAnsi"/>
                <w:bCs/>
                <w:sz w:val="24"/>
                <w:szCs w:val="24"/>
              </w:rPr>
            </w:pPr>
            <w:r w:rsidRPr="006979BB">
              <w:rPr>
                <w:rFonts w:cstheme="minorHAnsi"/>
                <w:bCs/>
                <w:sz w:val="24"/>
                <w:szCs w:val="24"/>
              </w:rPr>
              <w:t>Zhotovitel neodstraní vadu nebo poškození v přiměřené lhůtě určené Objednatelem podle Pod-článku 11.4 [Neúspěšné odstraňování vady]</w:t>
            </w:r>
          </w:p>
        </w:tc>
        <w:tc>
          <w:tcPr>
            <w:tcW w:w="1418" w:type="dxa"/>
            <w:vAlign w:val="center"/>
          </w:tcPr>
          <w:p w14:paraId="166588AA" w14:textId="754A447E" w:rsidR="00A80718" w:rsidRPr="006979BB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4.25.</w:t>
            </w:r>
            <w:r w:rsidR="009317EC" w:rsidRPr="006979BB">
              <w:rPr>
                <w:rFonts w:cstheme="minorHAnsi"/>
                <w:sz w:val="24"/>
                <w:szCs w:val="24"/>
              </w:rPr>
              <w:t>j</w:t>
            </w:r>
            <w:r w:rsidRPr="006979BB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394" w:type="dxa"/>
            <w:vAlign w:val="center"/>
          </w:tcPr>
          <w:p w14:paraId="5038ACAF" w14:textId="3D327FCC" w:rsidR="00A80718" w:rsidRPr="006979BB" w:rsidRDefault="00C20BA5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5</w:t>
            </w:r>
            <w:r w:rsidR="00A80718" w:rsidRPr="006979BB">
              <w:rPr>
                <w:rFonts w:cstheme="minorHAnsi"/>
                <w:sz w:val="24"/>
                <w:szCs w:val="24"/>
              </w:rPr>
              <w:t>.000 Kč (jednorázově za každé jednotlivé porušení)</w:t>
            </w:r>
          </w:p>
        </w:tc>
      </w:tr>
      <w:tr w:rsidR="00A80718" w:rsidRPr="00A15D90" w14:paraId="5F28DB36" w14:textId="77777777" w:rsidTr="00A70780">
        <w:trPr>
          <w:trHeight w:val="147"/>
        </w:trPr>
        <w:tc>
          <w:tcPr>
            <w:tcW w:w="2977" w:type="dxa"/>
            <w:vAlign w:val="center"/>
          </w:tcPr>
          <w:p w14:paraId="704A7CC2" w14:textId="77777777" w:rsidR="00A80718" w:rsidRPr="006979BB" w:rsidRDefault="00A80718">
            <w:pPr>
              <w:pStyle w:val="Zkladntext"/>
              <w:rPr>
                <w:rFonts w:cstheme="minorHAnsi"/>
                <w:iCs/>
                <w:sz w:val="24"/>
                <w:szCs w:val="24"/>
              </w:rPr>
            </w:pPr>
            <w:r w:rsidRPr="006979BB">
              <w:rPr>
                <w:rFonts w:cstheme="minorHAnsi"/>
                <w:iCs/>
                <w:sz w:val="24"/>
                <w:szCs w:val="24"/>
              </w:rPr>
              <w:t>Zhotovitel je v prodlení s předložením nebo udržováním v platnosti pojistných Smluv podle Článku 18 [Pojištění]</w:t>
            </w:r>
          </w:p>
        </w:tc>
        <w:tc>
          <w:tcPr>
            <w:tcW w:w="1418" w:type="dxa"/>
            <w:vAlign w:val="center"/>
          </w:tcPr>
          <w:p w14:paraId="74A1153C" w14:textId="555D8FD9" w:rsidR="00A80718" w:rsidRPr="006979BB" w:rsidRDefault="00A80718" w:rsidP="00A70780">
            <w:pPr>
              <w:pStyle w:val="Zkladntext"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4.25.</w:t>
            </w:r>
            <w:r w:rsidR="009317EC" w:rsidRPr="006979BB">
              <w:rPr>
                <w:rFonts w:cstheme="minorHAnsi"/>
                <w:sz w:val="24"/>
                <w:szCs w:val="24"/>
              </w:rPr>
              <w:t>k</w:t>
            </w:r>
            <w:r w:rsidRPr="006979BB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394" w:type="dxa"/>
            <w:vAlign w:val="center"/>
          </w:tcPr>
          <w:p w14:paraId="62B89B40" w14:textId="01645067" w:rsidR="00A80718" w:rsidRPr="006979BB" w:rsidRDefault="00C20BA5">
            <w:pPr>
              <w:spacing w:before="60" w:afterLines="60" w:after="144"/>
              <w:rPr>
                <w:rStyle w:val="NormalUnderlined"/>
                <w:rFonts w:cstheme="minorHAnsi"/>
                <w:szCs w:val="24"/>
                <w:u w:val="none"/>
              </w:rPr>
            </w:pPr>
            <w:r w:rsidRPr="006979BB">
              <w:rPr>
                <w:rStyle w:val="NormalUnderlined"/>
                <w:rFonts w:cstheme="minorHAnsi"/>
                <w:szCs w:val="24"/>
                <w:u w:val="none"/>
              </w:rPr>
              <w:t>5</w:t>
            </w:r>
            <w:r w:rsidR="00A80718" w:rsidRPr="006979BB">
              <w:rPr>
                <w:rStyle w:val="NormalUnderlined"/>
                <w:rFonts w:cstheme="minorHAnsi"/>
                <w:szCs w:val="24"/>
                <w:u w:val="none"/>
              </w:rPr>
              <w:t>.000 Kč (jednorázově za každé jednotlivé porušení)</w:t>
            </w:r>
          </w:p>
        </w:tc>
      </w:tr>
      <w:tr w:rsidR="00A80718" w:rsidRPr="00A15D90" w14:paraId="4BB2EE0D" w14:textId="77777777" w:rsidTr="00A70780">
        <w:trPr>
          <w:trHeight w:val="147"/>
        </w:trPr>
        <w:tc>
          <w:tcPr>
            <w:tcW w:w="2977" w:type="dxa"/>
            <w:vAlign w:val="center"/>
          </w:tcPr>
          <w:p w14:paraId="3D6E9536" w14:textId="77777777" w:rsidR="00A80718" w:rsidRPr="006979BB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Zhotovitel z důvodů na své straně nedodrží Dobu pro dokončení Díla v termínu dle Přílohy k nabídce</w:t>
            </w:r>
          </w:p>
        </w:tc>
        <w:tc>
          <w:tcPr>
            <w:tcW w:w="1418" w:type="dxa"/>
            <w:vAlign w:val="center"/>
          </w:tcPr>
          <w:p w14:paraId="565F165A" w14:textId="006D275C" w:rsidR="00A80718" w:rsidRPr="006979BB" w:rsidRDefault="00A8071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4.25.</w:t>
            </w:r>
            <w:r w:rsidR="009317EC" w:rsidRPr="006979BB">
              <w:rPr>
                <w:rFonts w:cstheme="minorHAnsi"/>
                <w:sz w:val="24"/>
                <w:szCs w:val="24"/>
              </w:rPr>
              <w:t>l</w:t>
            </w:r>
            <w:r w:rsidRPr="006979BB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394" w:type="dxa"/>
            <w:vAlign w:val="center"/>
          </w:tcPr>
          <w:p w14:paraId="18E95D74" w14:textId="65A3EC02" w:rsidR="00A80718" w:rsidRPr="006979BB" w:rsidRDefault="003F6A7D">
            <w:pPr>
              <w:spacing w:before="60" w:afterLines="60" w:after="144"/>
              <w:jc w:val="both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5</w:t>
            </w:r>
            <w:r w:rsidR="00A80718" w:rsidRPr="006979BB">
              <w:rPr>
                <w:rFonts w:cstheme="minorHAnsi"/>
                <w:sz w:val="24"/>
                <w:szCs w:val="24"/>
              </w:rPr>
              <w:t xml:space="preserve">.000 Kč </w:t>
            </w:r>
            <w:r w:rsidR="004115F1" w:rsidRPr="006979BB">
              <w:rPr>
                <w:rFonts w:cstheme="minorHAnsi"/>
                <w:sz w:val="24"/>
                <w:szCs w:val="24"/>
              </w:rPr>
              <w:t>(za každý započatý den prodlení)</w:t>
            </w:r>
          </w:p>
        </w:tc>
      </w:tr>
      <w:tr w:rsidR="00D37406" w:rsidRPr="00A15D90" w14:paraId="668EB432" w14:textId="77777777" w:rsidTr="00A70780">
        <w:trPr>
          <w:trHeight w:val="1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DEE0" w14:textId="7132A48A" w:rsidR="00D37406" w:rsidRPr="006979BB" w:rsidRDefault="00BA71CE" w:rsidP="00BA71CE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Maximální celková výše smluvních pokut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127D" w14:textId="6F6E0229" w:rsidR="00D37406" w:rsidRPr="006979BB" w:rsidRDefault="00BA71CE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4.25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1A73" w14:textId="0B52971A" w:rsidR="00D37406" w:rsidRPr="006979BB" w:rsidRDefault="00BA71CE" w:rsidP="004E664A">
            <w:pPr>
              <w:spacing w:before="60" w:afterLines="60" w:after="144"/>
              <w:rPr>
                <w:rStyle w:val="NormalUnderlined"/>
                <w:rFonts w:cstheme="minorHAnsi"/>
                <w:kern w:val="0"/>
                <w:szCs w:val="24"/>
                <w:u w:val="none"/>
                <w14:ligatures w14:val="none"/>
              </w:rPr>
            </w:pPr>
            <w:r w:rsidRPr="006979BB">
              <w:rPr>
                <w:rStyle w:val="NormalUnderlined"/>
                <w:rFonts w:cstheme="minorHAnsi"/>
                <w:szCs w:val="24"/>
                <w:u w:val="none"/>
              </w:rPr>
              <w:t>Do výše 30 % Přijaté smluvní částky</w:t>
            </w:r>
          </w:p>
        </w:tc>
      </w:tr>
    </w:tbl>
    <w:p w14:paraId="5F176C24" w14:textId="77777777" w:rsidR="00086017" w:rsidRPr="00A15D90" w:rsidRDefault="00086017" w:rsidP="00D31198">
      <w:pPr>
        <w:spacing w:after="0"/>
        <w:rPr>
          <w:sz w:val="24"/>
          <w:szCs w:val="24"/>
        </w:rPr>
      </w:pPr>
    </w:p>
    <w:p w14:paraId="76DB7C73" w14:textId="143085FF" w:rsidR="00F17814" w:rsidRPr="00A15D90" w:rsidRDefault="00DA71AB" w:rsidP="00BF3173">
      <w:pPr>
        <w:rPr>
          <w:rStyle w:val="NormalUnderlined"/>
          <w:rFonts w:cstheme="minorHAnsi"/>
          <w:szCs w:val="24"/>
          <w:u w:val="none"/>
        </w:rPr>
      </w:pPr>
      <w:r w:rsidRPr="00A15D90">
        <w:rPr>
          <w:rStyle w:val="NormalUnderlined"/>
          <w:rFonts w:cstheme="minorHAnsi"/>
          <w:szCs w:val="24"/>
          <w:u w:val="none"/>
        </w:rPr>
        <w:t xml:space="preserve">Vymezení </w:t>
      </w:r>
      <w:r w:rsidR="00BF3173" w:rsidRPr="00A15D90">
        <w:rPr>
          <w:rStyle w:val="NormalUnderlined"/>
          <w:rFonts w:cstheme="minorHAnsi"/>
          <w:szCs w:val="24"/>
          <w:u w:val="none"/>
        </w:rPr>
        <w:t>požadavků Objednatele ve vztahu k </w:t>
      </w:r>
      <w:r w:rsidR="00E57EAC" w:rsidRPr="00A15D90">
        <w:rPr>
          <w:rStyle w:val="NormalUnderlined"/>
          <w:rFonts w:cstheme="minorHAnsi"/>
          <w:szCs w:val="24"/>
          <w:u w:val="none"/>
        </w:rPr>
        <w:t>Článku</w:t>
      </w:r>
      <w:r w:rsidR="00BF3173" w:rsidRPr="00A15D90">
        <w:rPr>
          <w:rStyle w:val="NormalUnderlined"/>
          <w:rFonts w:cstheme="minorHAnsi"/>
          <w:szCs w:val="24"/>
          <w:u w:val="none"/>
        </w:rPr>
        <w:t xml:space="preserve"> 18 [Pojištění]:</w:t>
      </w:r>
    </w:p>
    <w:tbl>
      <w:tblPr>
        <w:tblW w:w="87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1420"/>
        <w:gridCol w:w="4394"/>
      </w:tblGrid>
      <w:tr w:rsidR="002F767F" w:rsidRPr="00A15D90" w14:paraId="7AD2CBE6" w14:textId="77777777" w:rsidTr="7180809F">
        <w:trPr>
          <w:trHeight w:val="686"/>
          <w:tblHeader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FB2FA5" w14:textId="77777777" w:rsidR="002F767F" w:rsidRPr="00A15D90" w:rsidRDefault="002F767F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Název Pod-článku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5FBE16" w14:textId="77777777" w:rsidR="002F767F" w:rsidRPr="00A15D90" w:rsidRDefault="002F767F">
            <w:pPr>
              <w:pStyle w:val="Zkladntext"/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Pod-článek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0C101C" w14:textId="77777777" w:rsidR="002F767F" w:rsidRPr="00A15D90" w:rsidRDefault="002F767F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Údaje</w:t>
            </w:r>
          </w:p>
        </w:tc>
      </w:tr>
      <w:tr w:rsidR="00F17814" w:rsidRPr="00A15D90" w14:paraId="344E5FE1" w14:textId="77777777" w:rsidTr="7180809F">
        <w:trPr>
          <w:trHeight w:val="147"/>
        </w:trPr>
        <w:tc>
          <w:tcPr>
            <w:tcW w:w="2976" w:type="dxa"/>
            <w:vAlign w:val="center"/>
          </w:tcPr>
          <w:p w14:paraId="1813662D" w14:textId="77777777" w:rsidR="00F17814" w:rsidRPr="006979BB" w:rsidRDefault="5D34243D" w:rsidP="458A318E">
            <w:pPr>
              <w:pStyle w:val="Zkladntext"/>
              <w:spacing w:after="0"/>
              <w:rPr>
                <w:sz w:val="24"/>
                <w:szCs w:val="24"/>
              </w:rPr>
            </w:pPr>
            <w:r w:rsidRPr="7180809F">
              <w:rPr>
                <w:sz w:val="24"/>
                <w:szCs w:val="24"/>
              </w:rPr>
              <w:t>Lhůty pro předložení pojištění:</w:t>
            </w:r>
          </w:p>
          <w:p w14:paraId="7F5F4C00" w14:textId="7B20DC4E" w:rsidR="00F17814" w:rsidRPr="006979BB" w:rsidRDefault="00F17814" w:rsidP="00F17814">
            <w:pPr>
              <w:pStyle w:val="Zkladntext"/>
              <w:numPr>
                <w:ilvl w:val="0"/>
                <w:numId w:val="2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důkaz o pojištění</w:t>
            </w:r>
            <w:r w:rsidR="00686E0B">
              <w:rPr>
                <w:rFonts w:cstheme="minorHAnsi"/>
                <w:sz w:val="24"/>
                <w:szCs w:val="24"/>
              </w:rPr>
              <w:t xml:space="preserve"> (pojistka)</w:t>
            </w:r>
          </w:p>
          <w:p w14:paraId="5303D9A8" w14:textId="03A50987" w:rsidR="00F17814" w:rsidRPr="006979BB" w:rsidRDefault="00F17814" w:rsidP="00F17814">
            <w:pPr>
              <w:pStyle w:val="Zkladntext"/>
              <w:numPr>
                <w:ilvl w:val="0"/>
                <w:numId w:val="2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lastRenderedPageBreak/>
              <w:t>příslušné pojistné smlouvy</w:t>
            </w:r>
          </w:p>
        </w:tc>
        <w:tc>
          <w:tcPr>
            <w:tcW w:w="1420" w:type="dxa"/>
            <w:vAlign w:val="center"/>
          </w:tcPr>
          <w:p w14:paraId="5417C494" w14:textId="77777777" w:rsidR="006D6AF9" w:rsidRPr="006979BB" w:rsidRDefault="006D6AF9" w:rsidP="005441C3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</w:p>
          <w:p w14:paraId="181B13AF" w14:textId="09D80EA7" w:rsidR="00F17814" w:rsidRPr="006979BB" w:rsidRDefault="00F17814" w:rsidP="006D6AF9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18.</w:t>
            </w:r>
            <w:r w:rsidR="00FB7D27" w:rsidRPr="006979BB">
              <w:rPr>
                <w:rFonts w:cstheme="minorHAnsi"/>
                <w:sz w:val="24"/>
                <w:szCs w:val="24"/>
              </w:rPr>
              <w:t>2</w:t>
            </w:r>
          </w:p>
          <w:p w14:paraId="55C1EB01" w14:textId="2BD1AA21" w:rsidR="00F17814" w:rsidRPr="006979BB" w:rsidRDefault="349F6A2F" w:rsidP="01981013">
            <w:pPr>
              <w:pStyle w:val="Zkladntext"/>
              <w:jc w:val="center"/>
              <w:rPr>
                <w:sz w:val="24"/>
                <w:szCs w:val="24"/>
              </w:rPr>
            </w:pPr>
            <w:r w:rsidRPr="458A318E">
              <w:rPr>
                <w:sz w:val="24"/>
                <w:szCs w:val="24"/>
              </w:rPr>
              <w:t>18.</w:t>
            </w:r>
            <w:r w:rsidR="04159057" w:rsidRPr="458A318E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14:paraId="67B1F804" w14:textId="77777777" w:rsidR="006D6AF9" w:rsidRPr="006979BB" w:rsidRDefault="006D6AF9">
            <w:pPr>
              <w:spacing w:before="60" w:afterLines="60" w:after="144"/>
              <w:rPr>
                <w:rStyle w:val="NormalUnderlined"/>
                <w:rFonts w:cstheme="minorHAnsi"/>
                <w:szCs w:val="24"/>
                <w:u w:val="none"/>
              </w:rPr>
            </w:pPr>
          </w:p>
          <w:p w14:paraId="30BB7186" w14:textId="491FE571" w:rsidR="00F17814" w:rsidRPr="006979BB" w:rsidRDefault="00FB7D27">
            <w:pPr>
              <w:spacing w:before="60" w:afterLines="60" w:after="144"/>
              <w:rPr>
                <w:rStyle w:val="NormalUnderlined"/>
                <w:rFonts w:cstheme="minorHAnsi"/>
                <w:szCs w:val="24"/>
                <w:u w:val="none"/>
              </w:rPr>
            </w:pPr>
            <w:r w:rsidRPr="006979BB">
              <w:rPr>
                <w:rStyle w:val="NormalUnderlined"/>
                <w:rFonts w:cstheme="minorHAnsi"/>
                <w:szCs w:val="24"/>
                <w:u w:val="none"/>
              </w:rPr>
              <w:t xml:space="preserve">7 dnů od uzavření Smlouvy </w:t>
            </w:r>
          </w:p>
          <w:p w14:paraId="0B617190" w14:textId="536F92F4" w:rsidR="00F17814" w:rsidRPr="006979BB" w:rsidRDefault="5383664F" w:rsidP="458A318E">
            <w:pPr>
              <w:spacing w:before="60" w:afterLines="60" w:after="144"/>
              <w:rPr>
                <w:sz w:val="24"/>
                <w:szCs w:val="24"/>
              </w:rPr>
            </w:pPr>
            <w:r w:rsidRPr="7180809F">
              <w:rPr>
                <w:rStyle w:val="NormalUnderlined"/>
                <w:u w:val="none"/>
              </w:rPr>
              <w:t xml:space="preserve">7 dnů od uzavření Smlouvy </w:t>
            </w:r>
          </w:p>
        </w:tc>
      </w:tr>
      <w:tr w:rsidR="001E1DAA" w:rsidRPr="00A15D90" w14:paraId="095E295F" w14:textId="77777777" w:rsidTr="7180809F">
        <w:trPr>
          <w:trHeight w:val="644"/>
        </w:trPr>
        <w:tc>
          <w:tcPr>
            <w:tcW w:w="2976" w:type="dxa"/>
            <w:vAlign w:val="center"/>
          </w:tcPr>
          <w:p w14:paraId="51258698" w14:textId="56919B50" w:rsidR="001E1DAA" w:rsidRPr="006979BB" w:rsidRDefault="001E1DAA" w:rsidP="001E1DAA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 xml:space="preserve">Pojistné plnění </w:t>
            </w:r>
          </w:p>
        </w:tc>
        <w:tc>
          <w:tcPr>
            <w:tcW w:w="1420" w:type="dxa"/>
            <w:vAlign w:val="center"/>
          </w:tcPr>
          <w:p w14:paraId="27A947B7" w14:textId="5A4EC963" w:rsidR="001E1DAA" w:rsidRPr="006979BB" w:rsidRDefault="001E1DAA" w:rsidP="001E1DAA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18.2</w:t>
            </w:r>
          </w:p>
        </w:tc>
        <w:tc>
          <w:tcPr>
            <w:tcW w:w="4394" w:type="dxa"/>
            <w:vAlign w:val="center"/>
          </w:tcPr>
          <w:p w14:paraId="4AC3AC30" w14:textId="7C3B98C4" w:rsidR="001E1DAA" w:rsidRPr="006979BB" w:rsidRDefault="001E1DAA" w:rsidP="001E1DAA">
            <w:pPr>
              <w:pStyle w:val="Zkladntext"/>
              <w:jc w:val="both"/>
              <w:rPr>
                <w:sz w:val="24"/>
                <w:szCs w:val="24"/>
              </w:rPr>
            </w:pPr>
            <w:r w:rsidRPr="006979BB">
              <w:rPr>
                <w:sz w:val="24"/>
                <w:szCs w:val="24"/>
              </w:rPr>
              <w:t xml:space="preserve">Výše pojistného plnění musí ke každému okamžiku plnění Smlouvy dosahovat alespoň smluvní hodnoty do té doby provedených prací bez DPH. </w:t>
            </w:r>
          </w:p>
          <w:p w14:paraId="243110CC" w14:textId="177323D5" w:rsidR="001E1DAA" w:rsidRPr="006979BB" w:rsidRDefault="001E1DAA" w:rsidP="001E1DAA">
            <w:pPr>
              <w:pStyle w:val="Zkladntext"/>
              <w:jc w:val="both"/>
              <w:rPr>
                <w:rStyle w:val="NormalUnderlined"/>
                <w:rFonts w:cstheme="minorHAnsi"/>
                <w:szCs w:val="24"/>
                <w:u w:val="none"/>
              </w:rPr>
            </w:pPr>
          </w:p>
        </w:tc>
      </w:tr>
      <w:tr w:rsidR="00D61532" w:rsidRPr="00A15D90" w14:paraId="1B748413" w14:textId="77777777" w:rsidTr="7180809F">
        <w:trPr>
          <w:trHeight w:val="644"/>
        </w:trPr>
        <w:tc>
          <w:tcPr>
            <w:tcW w:w="2976" w:type="dxa"/>
            <w:vAlign w:val="center"/>
          </w:tcPr>
          <w:p w14:paraId="48896C6D" w14:textId="49155237" w:rsidR="00D61532" w:rsidRPr="006979BB" w:rsidRDefault="00D61532" w:rsidP="00D61532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Minimální částka pojistného krytí</w:t>
            </w:r>
          </w:p>
        </w:tc>
        <w:tc>
          <w:tcPr>
            <w:tcW w:w="1420" w:type="dxa"/>
            <w:vAlign w:val="center"/>
          </w:tcPr>
          <w:p w14:paraId="5B115EEC" w14:textId="122B256E" w:rsidR="00D61532" w:rsidRPr="006979BB" w:rsidRDefault="00D61532" w:rsidP="00D61532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18.2</w:t>
            </w:r>
          </w:p>
        </w:tc>
        <w:tc>
          <w:tcPr>
            <w:tcW w:w="4394" w:type="dxa"/>
            <w:vAlign w:val="center"/>
          </w:tcPr>
          <w:p w14:paraId="44736EF5" w14:textId="1A6F230D" w:rsidR="00D61532" w:rsidRPr="006979BB" w:rsidRDefault="0CD428D1" w:rsidP="00D61532">
            <w:pPr>
              <w:pStyle w:val="Zkladntext"/>
              <w:jc w:val="both"/>
              <w:rPr>
                <w:sz w:val="24"/>
                <w:szCs w:val="24"/>
              </w:rPr>
            </w:pPr>
            <w:r w:rsidRPr="458A318E">
              <w:rPr>
                <w:sz w:val="24"/>
                <w:szCs w:val="24"/>
              </w:rPr>
              <w:t>1 % Přijaté smluvní částky (bez DPH)</w:t>
            </w:r>
          </w:p>
        </w:tc>
      </w:tr>
      <w:tr w:rsidR="00D61532" w:rsidRPr="00A15D90" w14:paraId="70C7618A" w14:textId="77777777" w:rsidTr="7180809F">
        <w:trPr>
          <w:trHeight w:val="644"/>
        </w:trPr>
        <w:tc>
          <w:tcPr>
            <w:tcW w:w="2976" w:type="dxa"/>
            <w:vAlign w:val="center"/>
          </w:tcPr>
          <w:p w14:paraId="168F7A2B" w14:textId="2A79833F" w:rsidR="00D61532" w:rsidRPr="006979BB" w:rsidRDefault="1C0F1D95" w:rsidP="458A318E">
            <w:pPr>
              <w:pStyle w:val="Zkladntext"/>
              <w:rPr>
                <w:sz w:val="24"/>
                <w:szCs w:val="24"/>
              </w:rPr>
            </w:pPr>
            <w:r w:rsidRPr="7180809F">
              <w:rPr>
                <w:sz w:val="24"/>
                <w:szCs w:val="24"/>
              </w:rPr>
              <w:t>Minimální částka pojištění odpovědnosti</w:t>
            </w:r>
          </w:p>
        </w:tc>
        <w:tc>
          <w:tcPr>
            <w:tcW w:w="1420" w:type="dxa"/>
            <w:vAlign w:val="center"/>
          </w:tcPr>
          <w:p w14:paraId="194E86D6" w14:textId="01F4E469" w:rsidR="00D61532" w:rsidRPr="006979BB" w:rsidRDefault="00D61532" w:rsidP="00D61532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18.3</w:t>
            </w:r>
          </w:p>
        </w:tc>
        <w:tc>
          <w:tcPr>
            <w:tcW w:w="4394" w:type="dxa"/>
            <w:vAlign w:val="center"/>
          </w:tcPr>
          <w:p w14:paraId="1206F3FC" w14:textId="77777777" w:rsidR="00D61532" w:rsidRPr="006979BB" w:rsidRDefault="00D61532" w:rsidP="00D61532">
            <w:pPr>
              <w:pStyle w:val="Zkladntext"/>
              <w:jc w:val="both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minimálně 100 mil. Kč na jednu pojistnou událost</w:t>
            </w:r>
          </w:p>
          <w:p w14:paraId="74977098" w14:textId="3257D081" w:rsidR="00D61532" w:rsidRPr="006979BB" w:rsidRDefault="00D61532" w:rsidP="00D61532">
            <w:pPr>
              <w:pStyle w:val="Zkladntext"/>
              <w:jc w:val="both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200 mil. Kč v úhrnu za rok</w:t>
            </w:r>
          </w:p>
        </w:tc>
      </w:tr>
      <w:tr w:rsidR="00D61532" w:rsidRPr="00A15D90" w14:paraId="2B51D507" w14:textId="77777777" w:rsidTr="7180809F">
        <w:trPr>
          <w:trHeight w:val="644"/>
        </w:trPr>
        <w:tc>
          <w:tcPr>
            <w:tcW w:w="2976" w:type="dxa"/>
            <w:vAlign w:val="center"/>
          </w:tcPr>
          <w:p w14:paraId="5AA8EDA1" w14:textId="5EC6CE82" w:rsidR="00D61532" w:rsidRPr="006979BB" w:rsidRDefault="00D61532" w:rsidP="00D61532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Maximální spoluúčast pojištění odpovědnosti</w:t>
            </w:r>
          </w:p>
        </w:tc>
        <w:tc>
          <w:tcPr>
            <w:tcW w:w="1420" w:type="dxa"/>
            <w:vAlign w:val="center"/>
          </w:tcPr>
          <w:p w14:paraId="1DB129CF" w14:textId="3276EA2A" w:rsidR="00D61532" w:rsidRPr="006979BB" w:rsidRDefault="00D61532" w:rsidP="00D61532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18.3</w:t>
            </w:r>
          </w:p>
        </w:tc>
        <w:tc>
          <w:tcPr>
            <w:tcW w:w="4394" w:type="dxa"/>
            <w:vAlign w:val="center"/>
          </w:tcPr>
          <w:p w14:paraId="309DA864" w14:textId="55224D5F" w:rsidR="00D61532" w:rsidRPr="006979BB" w:rsidRDefault="00D61532" w:rsidP="00D61532">
            <w:pPr>
              <w:pStyle w:val="Zkladntext"/>
              <w:jc w:val="both"/>
              <w:rPr>
                <w:rFonts w:cstheme="minorHAnsi"/>
                <w:sz w:val="24"/>
                <w:szCs w:val="24"/>
              </w:rPr>
            </w:pPr>
            <w:r w:rsidRPr="006979BB">
              <w:rPr>
                <w:rFonts w:cstheme="minorHAnsi"/>
                <w:sz w:val="24"/>
                <w:szCs w:val="24"/>
              </w:rPr>
              <w:t>500 tis. Kč</w:t>
            </w:r>
          </w:p>
        </w:tc>
      </w:tr>
    </w:tbl>
    <w:p w14:paraId="412E0129" w14:textId="5EC711BB" w:rsidR="00135F63" w:rsidRPr="00A15D90" w:rsidRDefault="00135F63" w:rsidP="00135F63">
      <w:pPr>
        <w:pStyle w:val="Zkladntext"/>
        <w:rPr>
          <w:rFonts w:cstheme="minorHAnsi"/>
          <w:i/>
          <w:iCs/>
          <w:sz w:val="24"/>
          <w:szCs w:val="24"/>
        </w:rPr>
      </w:pPr>
    </w:p>
    <w:p w14:paraId="084C81E1" w14:textId="59B319C6" w:rsidR="00135F63" w:rsidRPr="00A15D90" w:rsidRDefault="00135F63" w:rsidP="00A15D90">
      <w:pPr>
        <w:pStyle w:val="Zkladntext"/>
        <w:jc w:val="both"/>
        <w:rPr>
          <w:rFonts w:cstheme="minorHAnsi"/>
          <w:sz w:val="24"/>
          <w:szCs w:val="24"/>
        </w:rPr>
        <w:sectPr w:rsidR="00135F63" w:rsidRPr="00A15D90" w:rsidSect="004847F6">
          <w:headerReference w:type="default" r:id="rId11"/>
          <w:footerReference w:type="even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pgNumType w:chapStyle="1"/>
          <w:cols w:space="708"/>
          <w:docGrid w:linePitch="360"/>
        </w:sectPr>
      </w:pPr>
      <w:r w:rsidRPr="00A15D90">
        <w:rPr>
          <w:rFonts w:cstheme="minorHAnsi"/>
          <w:sz w:val="24"/>
          <w:szCs w:val="24"/>
        </w:rPr>
        <w:t xml:space="preserve">Definice </w:t>
      </w:r>
      <w:r w:rsidR="00877279" w:rsidRPr="006B676B">
        <w:rPr>
          <w:rFonts w:cstheme="minorHAnsi"/>
          <w:b/>
          <w:bCs/>
          <w:sz w:val="24"/>
          <w:szCs w:val="24"/>
        </w:rPr>
        <w:t>Závazného</w:t>
      </w:r>
      <w:r w:rsidR="002647AD" w:rsidRPr="006B676B">
        <w:rPr>
          <w:rFonts w:cstheme="minorHAnsi"/>
          <w:b/>
          <w:bCs/>
          <w:sz w:val="24"/>
          <w:szCs w:val="24"/>
        </w:rPr>
        <w:t xml:space="preserve"> milník</w:t>
      </w:r>
      <w:r w:rsidR="00877279" w:rsidRPr="006B676B">
        <w:rPr>
          <w:rFonts w:cstheme="minorHAnsi"/>
          <w:b/>
          <w:bCs/>
          <w:sz w:val="24"/>
          <w:szCs w:val="24"/>
        </w:rPr>
        <w:t>u</w:t>
      </w:r>
      <w:r w:rsidR="004A0FDC" w:rsidRPr="00A15D90">
        <w:rPr>
          <w:rFonts w:cstheme="minorHAnsi"/>
          <w:sz w:val="24"/>
          <w:szCs w:val="24"/>
        </w:rPr>
        <w:t xml:space="preserve"> a </w:t>
      </w:r>
      <w:r w:rsidR="00F07ED3">
        <w:rPr>
          <w:rFonts w:cstheme="minorHAnsi"/>
          <w:b/>
          <w:bCs/>
          <w:sz w:val="24"/>
          <w:szCs w:val="24"/>
        </w:rPr>
        <w:t>termín pro splnění</w:t>
      </w:r>
      <w:r w:rsidR="00F07ED3" w:rsidRPr="006B676B">
        <w:rPr>
          <w:rFonts w:cstheme="minorHAnsi"/>
          <w:b/>
          <w:bCs/>
          <w:sz w:val="24"/>
          <w:szCs w:val="24"/>
        </w:rPr>
        <w:t xml:space="preserve"> </w:t>
      </w:r>
      <w:r w:rsidR="00877279" w:rsidRPr="006B676B">
        <w:rPr>
          <w:rFonts w:cstheme="minorHAnsi"/>
          <w:b/>
          <w:bCs/>
          <w:sz w:val="24"/>
          <w:szCs w:val="24"/>
        </w:rPr>
        <w:t>Z</w:t>
      </w:r>
      <w:r w:rsidR="004A0FDC" w:rsidRPr="006B676B">
        <w:rPr>
          <w:rFonts w:cstheme="minorHAnsi"/>
          <w:b/>
          <w:bCs/>
          <w:sz w:val="24"/>
          <w:szCs w:val="24"/>
        </w:rPr>
        <w:t>ávazn</w:t>
      </w:r>
      <w:r w:rsidR="00877279" w:rsidRPr="006B676B">
        <w:rPr>
          <w:rFonts w:cstheme="minorHAnsi"/>
          <w:b/>
          <w:bCs/>
          <w:sz w:val="24"/>
          <w:szCs w:val="24"/>
        </w:rPr>
        <w:t>ého</w:t>
      </w:r>
      <w:r w:rsidR="004A0FDC" w:rsidRPr="006B676B">
        <w:rPr>
          <w:rFonts w:cstheme="minorHAnsi"/>
          <w:b/>
          <w:bCs/>
          <w:sz w:val="24"/>
          <w:szCs w:val="24"/>
        </w:rPr>
        <w:t xml:space="preserve"> milník</w:t>
      </w:r>
      <w:r w:rsidR="00877279" w:rsidRPr="006B676B">
        <w:rPr>
          <w:rFonts w:cstheme="minorHAnsi"/>
          <w:b/>
          <w:bCs/>
          <w:sz w:val="24"/>
          <w:szCs w:val="24"/>
        </w:rPr>
        <w:t>u</w:t>
      </w:r>
      <w:r w:rsidR="002647AD" w:rsidRPr="00A15D90">
        <w:rPr>
          <w:rFonts w:cstheme="minorHAnsi"/>
          <w:sz w:val="24"/>
          <w:szCs w:val="24"/>
        </w:rPr>
        <w:t xml:space="preserve"> podle Pod-článku 4.26</w:t>
      </w:r>
      <w:r w:rsidRPr="00A15D90">
        <w:rPr>
          <w:rFonts w:cstheme="minorHAnsi"/>
          <w:sz w:val="24"/>
          <w:szCs w:val="24"/>
        </w:rPr>
        <w:t>:</w:t>
      </w:r>
    </w:p>
    <w:p w14:paraId="660EEB2B" w14:textId="77777777" w:rsidR="00DC5288" w:rsidRDefault="00DC5288" w:rsidP="00D31198">
      <w:pPr>
        <w:spacing w:after="0"/>
        <w:rPr>
          <w:sz w:val="24"/>
          <w:szCs w:val="24"/>
        </w:rPr>
      </w:pPr>
    </w:p>
    <w:tbl>
      <w:tblPr>
        <w:tblW w:w="87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1420"/>
        <w:gridCol w:w="4394"/>
      </w:tblGrid>
      <w:tr w:rsidR="00DC5288" w:rsidRPr="00A15D90" w14:paraId="2A057AB9" w14:textId="77777777" w:rsidTr="7180809F">
        <w:trPr>
          <w:trHeight w:val="686"/>
          <w:tblHeader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0AAC91" w14:textId="77777777" w:rsidR="00DC5288" w:rsidRPr="00A15D90" w:rsidRDefault="00DC5288" w:rsidP="004314D0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Název Pod-článku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8B3561" w14:textId="77777777" w:rsidR="00DC5288" w:rsidRPr="00A15D90" w:rsidRDefault="00DC5288" w:rsidP="004314D0">
            <w:pPr>
              <w:pStyle w:val="Zkladntext"/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Pod-článek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8BAA00" w14:textId="77777777" w:rsidR="00DC5288" w:rsidRPr="00A15D90" w:rsidRDefault="00DC5288" w:rsidP="004314D0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Údaje</w:t>
            </w:r>
          </w:p>
        </w:tc>
      </w:tr>
      <w:tr w:rsidR="00DC5288" w:rsidRPr="00A15D90" w14:paraId="10610A87" w14:textId="77777777" w:rsidTr="7180809F">
        <w:trPr>
          <w:trHeight w:val="147"/>
        </w:trPr>
        <w:tc>
          <w:tcPr>
            <w:tcW w:w="2976" w:type="dxa"/>
            <w:vAlign w:val="center"/>
          </w:tcPr>
          <w:p w14:paraId="5E7BC52D" w14:textId="7E67DFD3" w:rsidR="00DC5288" w:rsidRPr="00A070A4" w:rsidRDefault="00DC5288" w:rsidP="00DC5288">
            <w:pPr>
              <w:pStyle w:val="Zkladntext"/>
              <w:spacing w:after="0"/>
              <w:rPr>
                <w:rFonts w:cstheme="minorHAnsi"/>
                <w:sz w:val="24"/>
                <w:szCs w:val="24"/>
              </w:rPr>
            </w:pPr>
            <w:r w:rsidRPr="00A070A4">
              <w:rPr>
                <w:rFonts w:cstheme="minorHAnsi"/>
                <w:sz w:val="24"/>
                <w:szCs w:val="24"/>
              </w:rPr>
              <w:t>Závazný milník</w:t>
            </w:r>
          </w:p>
        </w:tc>
        <w:tc>
          <w:tcPr>
            <w:tcW w:w="1420" w:type="dxa"/>
            <w:vAlign w:val="center"/>
          </w:tcPr>
          <w:p w14:paraId="1DDD2BF9" w14:textId="2B5FD533" w:rsidR="00DC5288" w:rsidRPr="00A070A4" w:rsidRDefault="00DC5288" w:rsidP="00A7078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070A4">
              <w:rPr>
                <w:rFonts w:cstheme="minorHAnsi"/>
                <w:sz w:val="24"/>
                <w:szCs w:val="24"/>
              </w:rPr>
              <w:t>4.26</w:t>
            </w:r>
          </w:p>
        </w:tc>
        <w:tc>
          <w:tcPr>
            <w:tcW w:w="4394" w:type="dxa"/>
            <w:vAlign w:val="center"/>
          </w:tcPr>
          <w:p w14:paraId="6A67859B" w14:textId="04C0CCD3" w:rsidR="00846C7C" w:rsidRPr="00E75CE1" w:rsidRDefault="43E6AB34" w:rsidP="00846C7C">
            <w:pPr>
              <w:spacing w:after="0"/>
              <w:jc w:val="both"/>
              <w:rPr>
                <w:sz w:val="24"/>
                <w:szCs w:val="24"/>
              </w:rPr>
            </w:pPr>
            <w:r w:rsidRPr="7180809F">
              <w:rPr>
                <w:sz w:val="24"/>
                <w:szCs w:val="24"/>
              </w:rPr>
              <w:t xml:space="preserve">Závazným milníkem č. 1 je okamžik ukončení stavebních prací v 1. etapě výstavby; 1. etapa je specifikována v části </w:t>
            </w:r>
            <w:r w:rsidR="008B141D">
              <w:rPr>
                <w:sz w:val="24"/>
                <w:szCs w:val="24"/>
              </w:rPr>
              <w:t>p</w:t>
            </w:r>
            <w:r w:rsidRPr="7180809F">
              <w:rPr>
                <w:sz w:val="24"/>
                <w:szCs w:val="24"/>
              </w:rPr>
              <w:t>rojektové dokumentace „Multifunkční sportovní a kulturní centrum (MFSKC) – Křižovatka 4. brána BVV“, v části B – Souhrnná technická zpráva, B.8 Zásady organizace dopravy, B.8.1 písm. m) Zásady pro dopravní inženýrská opatření.</w:t>
            </w:r>
          </w:p>
          <w:p w14:paraId="207D6F6A" w14:textId="6EC6E70F" w:rsidR="00846C7C" w:rsidRPr="00E75CE1" w:rsidRDefault="00846C7C" w:rsidP="00846C7C">
            <w:pPr>
              <w:spacing w:after="0"/>
              <w:jc w:val="both"/>
              <w:rPr>
                <w:sz w:val="24"/>
                <w:szCs w:val="24"/>
              </w:rPr>
            </w:pPr>
            <w:r w:rsidRPr="00E75CE1">
              <w:rPr>
                <w:sz w:val="24"/>
                <w:szCs w:val="24"/>
              </w:rPr>
              <w:t xml:space="preserve">Termín pro splnění Závazného milníku č. 1 je upraven v uvedené části </w:t>
            </w:r>
            <w:r w:rsidR="003B72C1">
              <w:rPr>
                <w:sz w:val="24"/>
                <w:szCs w:val="24"/>
              </w:rPr>
              <w:t>p</w:t>
            </w:r>
            <w:r w:rsidRPr="00E75CE1">
              <w:rPr>
                <w:sz w:val="24"/>
                <w:szCs w:val="24"/>
              </w:rPr>
              <w:t>rojektové dokumentace.</w:t>
            </w:r>
          </w:p>
          <w:p w14:paraId="072802C3" w14:textId="77777777" w:rsidR="00846C7C" w:rsidRDefault="00846C7C" w:rsidP="00846C7C">
            <w:pPr>
              <w:spacing w:after="0"/>
              <w:jc w:val="both"/>
              <w:rPr>
                <w:sz w:val="24"/>
                <w:szCs w:val="24"/>
                <w:highlight w:val="yellow"/>
              </w:rPr>
            </w:pPr>
          </w:p>
          <w:p w14:paraId="59CED11F" w14:textId="66028419" w:rsidR="00846C7C" w:rsidRPr="00B40FE3" w:rsidRDefault="00846C7C" w:rsidP="00846C7C">
            <w:pPr>
              <w:spacing w:after="0"/>
              <w:jc w:val="both"/>
              <w:rPr>
                <w:sz w:val="24"/>
                <w:szCs w:val="24"/>
              </w:rPr>
            </w:pPr>
            <w:r w:rsidRPr="00B40FE3">
              <w:rPr>
                <w:sz w:val="24"/>
                <w:szCs w:val="24"/>
              </w:rPr>
              <w:t>Závazným milníkem č. 2 je okamžik ukončení stavebních prací ve 2. etapě výstavby</w:t>
            </w:r>
            <w:r w:rsidR="00500655" w:rsidRPr="00B40FE3">
              <w:rPr>
                <w:sz w:val="24"/>
                <w:szCs w:val="24"/>
              </w:rPr>
              <w:t>;</w:t>
            </w:r>
            <w:r w:rsidRPr="00B40FE3">
              <w:rPr>
                <w:sz w:val="24"/>
                <w:szCs w:val="24"/>
              </w:rPr>
              <w:t xml:space="preserve"> 2. etapa </w:t>
            </w:r>
            <w:r w:rsidR="00500655" w:rsidRPr="00B40FE3">
              <w:rPr>
                <w:sz w:val="24"/>
                <w:szCs w:val="24"/>
              </w:rPr>
              <w:t xml:space="preserve">je </w:t>
            </w:r>
            <w:r w:rsidRPr="00B40FE3">
              <w:rPr>
                <w:sz w:val="24"/>
                <w:szCs w:val="24"/>
              </w:rPr>
              <w:t>specifikována v</w:t>
            </w:r>
            <w:r w:rsidR="00216B4B">
              <w:rPr>
                <w:sz w:val="24"/>
                <w:szCs w:val="24"/>
              </w:rPr>
              <w:t xml:space="preserve"> uvedené části </w:t>
            </w:r>
            <w:r w:rsidR="005E1F44">
              <w:rPr>
                <w:sz w:val="24"/>
                <w:szCs w:val="24"/>
              </w:rPr>
              <w:t>p</w:t>
            </w:r>
            <w:r w:rsidRPr="00B40FE3">
              <w:rPr>
                <w:sz w:val="24"/>
                <w:szCs w:val="24"/>
              </w:rPr>
              <w:t>rojektové dokumentac</w:t>
            </w:r>
            <w:r w:rsidR="00216B4B">
              <w:rPr>
                <w:sz w:val="24"/>
                <w:szCs w:val="24"/>
              </w:rPr>
              <w:t>e</w:t>
            </w:r>
            <w:r w:rsidRPr="00B40FE3">
              <w:rPr>
                <w:sz w:val="24"/>
                <w:szCs w:val="24"/>
              </w:rPr>
              <w:t xml:space="preserve">, </w:t>
            </w:r>
            <w:r w:rsidRPr="00B40FE3">
              <w:rPr>
                <w:sz w:val="24"/>
                <w:szCs w:val="24"/>
              </w:rPr>
              <w:lastRenderedPageBreak/>
              <w:t>v</w:t>
            </w:r>
            <w:r w:rsidR="00017A3F">
              <w:rPr>
                <w:sz w:val="24"/>
                <w:szCs w:val="24"/>
              </w:rPr>
              <w:t> </w:t>
            </w:r>
            <w:r w:rsidRPr="00B40FE3">
              <w:rPr>
                <w:sz w:val="24"/>
                <w:szCs w:val="24"/>
              </w:rPr>
              <w:t xml:space="preserve">části </w:t>
            </w:r>
            <w:r w:rsidR="00B13AF9" w:rsidRPr="00B40FE3">
              <w:rPr>
                <w:sz w:val="24"/>
                <w:szCs w:val="24"/>
              </w:rPr>
              <w:t>B – Souhrnná</w:t>
            </w:r>
            <w:r w:rsidRPr="00B40FE3">
              <w:rPr>
                <w:sz w:val="24"/>
                <w:szCs w:val="24"/>
              </w:rPr>
              <w:t xml:space="preserve"> technická zpráva, B.8 Zásady organizace dopravy, B.8.1 písm. m) Zásady pro dopravní inženýrská opatření.</w:t>
            </w:r>
          </w:p>
          <w:p w14:paraId="3D696C00" w14:textId="17AC484E" w:rsidR="00DC5288" w:rsidRPr="0071706B" w:rsidRDefault="43E6AB34" w:rsidP="0071706B">
            <w:pPr>
              <w:spacing w:after="0"/>
              <w:jc w:val="both"/>
              <w:rPr>
                <w:sz w:val="24"/>
                <w:szCs w:val="24"/>
              </w:rPr>
            </w:pPr>
            <w:r w:rsidRPr="7180809F">
              <w:rPr>
                <w:sz w:val="24"/>
                <w:szCs w:val="24"/>
              </w:rPr>
              <w:t xml:space="preserve">Termín pro splnění Závazného milníku č. 2 je upraven v uvedené části </w:t>
            </w:r>
            <w:r w:rsidR="00D279C2">
              <w:rPr>
                <w:sz w:val="24"/>
                <w:szCs w:val="24"/>
              </w:rPr>
              <w:t>p</w:t>
            </w:r>
            <w:r w:rsidRPr="7180809F">
              <w:rPr>
                <w:sz w:val="24"/>
                <w:szCs w:val="24"/>
              </w:rPr>
              <w:t>rojektové dokumentace.</w:t>
            </w:r>
          </w:p>
        </w:tc>
      </w:tr>
    </w:tbl>
    <w:p w14:paraId="48C5DF0C" w14:textId="77777777" w:rsidR="00DC5288" w:rsidRPr="00D7685D" w:rsidRDefault="00DC5288" w:rsidP="00D31198">
      <w:pPr>
        <w:spacing w:after="0"/>
        <w:rPr>
          <w:sz w:val="24"/>
          <w:szCs w:val="24"/>
        </w:rPr>
      </w:pPr>
    </w:p>
    <w:sectPr w:rsidR="00DC5288" w:rsidRPr="00D7685D" w:rsidSect="004B1F6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66032" w14:textId="77777777" w:rsidR="006F311D" w:rsidRDefault="006F311D" w:rsidP="00D7685D">
      <w:pPr>
        <w:spacing w:after="0" w:line="240" w:lineRule="auto"/>
      </w:pPr>
      <w:r>
        <w:separator/>
      </w:r>
    </w:p>
  </w:endnote>
  <w:endnote w:type="continuationSeparator" w:id="0">
    <w:p w14:paraId="3630CEAC" w14:textId="77777777" w:rsidR="006F311D" w:rsidRDefault="006F311D" w:rsidP="00D7685D">
      <w:pPr>
        <w:spacing w:after="0" w:line="240" w:lineRule="auto"/>
      </w:pPr>
      <w:r>
        <w:continuationSeparator/>
      </w:r>
    </w:p>
  </w:endnote>
  <w:endnote w:type="continuationNotice" w:id="1">
    <w:p w14:paraId="79380C1B" w14:textId="77777777" w:rsidR="006F311D" w:rsidRDefault="006F31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254709860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48BFDB82" w14:textId="6AE67009" w:rsidR="004847F6" w:rsidRDefault="004847F6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1DBEEA55" w14:textId="77777777" w:rsidR="002831BD" w:rsidRDefault="002831BD" w:rsidP="004847F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124816349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0343970B" w14:textId="0DDEAD62" w:rsidR="004847F6" w:rsidRDefault="004847F6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0A148CC8" w14:textId="5BAFCAEB" w:rsidR="00135F63" w:rsidRDefault="00135F63" w:rsidP="004847F6">
    <w:pPr>
      <w:pStyle w:val="Zpat"/>
      <w:ind w:right="360"/>
      <w:jc w:val="right"/>
    </w:pPr>
  </w:p>
  <w:p w14:paraId="51699B8A" w14:textId="77777777" w:rsidR="00135F63" w:rsidRDefault="00135F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EC9DF" w14:textId="77777777" w:rsidR="006F311D" w:rsidRDefault="006F311D" w:rsidP="00D7685D">
      <w:pPr>
        <w:spacing w:after="0" w:line="240" w:lineRule="auto"/>
      </w:pPr>
      <w:r>
        <w:separator/>
      </w:r>
    </w:p>
  </w:footnote>
  <w:footnote w:type="continuationSeparator" w:id="0">
    <w:p w14:paraId="20198263" w14:textId="77777777" w:rsidR="006F311D" w:rsidRDefault="006F311D" w:rsidP="00D7685D">
      <w:pPr>
        <w:spacing w:after="0" w:line="240" w:lineRule="auto"/>
      </w:pPr>
      <w:r>
        <w:continuationSeparator/>
      </w:r>
    </w:p>
  </w:footnote>
  <w:footnote w:type="continuationNotice" w:id="1">
    <w:p w14:paraId="13DCBC0D" w14:textId="77777777" w:rsidR="006F311D" w:rsidRDefault="006F31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B02CA" w14:textId="77777777" w:rsidR="00F74BC8" w:rsidRPr="00F74BC8" w:rsidRDefault="00F74BC8" w:rsidP="00F74BC8">
    <w:pPr>
      <w:pStyle w:val="Zhlav"/>
    </w:pPr>
    <w:bookmarkStart w:id="0" w:name="_Hlk123908293"/>
    <w:bookmarkStart w:id="1" w:name="_Hlk123908294"/>
    <w:r w:rsidRPr="00F74BC8">
      <w:t>Příloha č. 2.</w:t>
    </w:r>
    <w:r>
      <w:t>4</w:t>
    </w:r>
    <w:r w:rsidRPr="00F74BC8">
      <w:t xml:space="preserve"> zadávací dokumentace</w:t>
    </w:r>
    <w:r w:rsidRPr="00F74BC8">
      <w:tab/>
    </w:r>
  </w:p>
  <w:p w14:paraId="7D86D7B8" w14:textId="77777777" w:rsidR="00F74BC8" w:rsidRPr="00F74BC8" w:rsidRDefault="00F74BC8" w:rsidP="00F74BC8">
    <w:pPr>
      <w:pStyle w:val="Zhlav"/>
    </w:pPr>
    <w:r w:rsidRPr="00F74BC8">
      <w:t>Veřejná zakázka s názvem „Multifunkční sportovní a kulturní centrum (MFSKC) - Křižovatka 4. brána BVV“</w:t>
    </w:r>
    <w:bookmarkEnd w:id="0"/>
    <w:bookmarkEnd w:id="1"/>
  </w:p>
  <w:p w14:paraId="4450A5B2" w14:textId="77777777" w:rsidR="002831BD" w:rsidRDefault="002831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85D48"/>
    <w:multiLevelType w:val="multilevel"/>
    <w:tmpl w:val="EF681286"/>
    <w:lvl w:ilvl="0">
      <w:start w:val="1"/>
      <w:numFmt w:val="decimal"/>
      <w:pStyle w:val="SML1"/>
      <w:lvlText w:val="%1."/>
      <w:lvlJc w:val="left"/>
      <w:pPr>
        <w:tabs>
          <w:tab w:val="num" w:pos="57"/>
        </w:tabs>
        <w:ind w:left="567" w:hanging="567"/>
      </w:pPr>
      <w:rPr>
        <w:rFonts w:hint="default"/>
      </w:rPr>
    </w:lvl>
    <w:lvl w:ilvl="1">
      <w:start w:val="1"/>
      <w:numFmt w:val="decimal"/>
      <w:pStyle w:val="SML11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SML111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lowerRoman"/>
      <w:pStyle w:val="SMLi"/>
      <w:lvlText w:val="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" w15:restartNumberingAfterBreak="0">
    <w:nsid w:val="5BF75600"/>
    <w:multiLevelType w:val="hybridMultilevel"/>
    <w:tmpl w:val="789A1F3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81011"/>
    <w:multiLevelType w:val="hybridMultilevel"/>
    <w:tmpl w:val="2C9E1EF6"/>
    <w:lvl w:ilvl="0" w:tplc="FD2E56D4">
      <w:start w:val="1"/>
      <w:numFmt w:val="lowerRoman"/>
      <w:lvlText w:val="(%1)"/>
      <w:lvlJc w:val="left"/>
      <w:pPr>
        <w:ind w:left="1818" w:hanging="720"/>
      </w:pPr>
      <w:rPr>
        <w:rFonts w:hint="default"/>
      </w:rPr>
    </w:lvl>
    <w:lvl w:ilvl="1" w:tplc="17102BA0">
      <w:start w:val="1"/>
      <w:numFmt w:val="lowerLetter"/>
      <w:lvlText w:val="%2)"/>
      <w:lvlJc w:val="left"/>
      <w:pPr>
        <w:ind w:left="217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98" w:hanging="180"/>
      </w:pPr>
    </w:lvl>
    <w:lvl w:ilvl="3" w:tplc="0405000F" w:tentative="1">
      <w:start w:val="1"/>
      <w:numFmt w:val="decimal"/>
      <w:lvlText w:val="%4."/>
      <w:lvlJc w:val="left"/>
      <w:pPr>
        <w:ind w:left="3618" w:hanging="360"/>
      </w:pPr>
    </w:lvl>
    <w:lvl w:ilvl="4" w:tplc="04050019" w:tentative="1">
      <w:start w:val="1"/>
      <w:numFmt w:val="lowerLetter"/>
      <w:lvlText w:val="%5."/>
      <w:lvlJc w:val="left"/>
      <w:pPr>
        <w:ind w:left="4338" w:hanging="360"/>
      </w:pPr>
    </w:lvl>
    <w:lvl w:ilvl="5" w:tplc="0405001B" w:tentative="1">
      <w:start w:val="1"/>
      <w:numFmt w:val="lowerRoman"/>
      <w:lvlText w:val="%6."/>
      <w:lvlJc w:val="right"/>
      <w:pPr>
        <w:ind w:left="5058" w:hanging="180"/>
      </w:pPr>
    </w:lvl>
    <w:lvl w:ilvl="6" w:tplc="0405000F" w:tentative="1">
      <w:start w:val="1"/>
      <w:numFmt w:val="decimal"/>
      <w:lvlText w:val="%7."/>
      <w:lvlJc w:val="left"/>
      <w:pPr>
        <w:ind w:left="5778" w:hanging="360"/>
      </w:pPr>
    </w:lvl>
    <w:lvl w:ilvl="7" w:tplc="04050019" w:tentative="1">
      <w:start w:val="1"/>
      <w:numFmt w:val="lowerLetter"/>
      <w:lvlText w:val="%8."/>
      <w:lvlJc w:val="left"/>
      <w:pPr>
        <w:ind w:left="6498" w:hanging="360"/>
      </w:pPr>
    </w:lvl>
    <w:lvl w:ilvl="8" w:tplc="0405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3" w15:restartNumberingAfterBreak="0">
    <w:nsid w:val="7713551C"/>
    <w:multiLevelType w:val="hybridMultilevel"/>
    <w:tmpl w:val="789A1F3E"/>
    <w:lvl w:ilvl="0" w:tplc="5B8C5C1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111036">
    <w:abstractNumId w:val="0"/>
  </w:num>
  <w:num w:numId="2" w16cid:durableId="1809474630">
    <w:abstractNumId w:val="3"/>
  </w:num>
  <w:num w:numId="3" w16cid:durableId="304817244">
    <w:abstractNumId w:val="2"/>
  </w:num>
  <w:num w:numId="4" w16cid:durableId="292099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85D"/>
    <w:rsid w:val="000022F8"/>
    <w:rsid w:val="0001105A"/>
    <w:rsid w:val="00012AE1"/>
    <w:rsid w:val="00017A3F"/>
    <w:rsid w:val="000327BC"/>
    <w:rsid w:val="0005195C"/>
    <w:rsid w:val="00055475"/>
    <w:rsid w:val="00061831"/>
    <w:rsid w:val="00066F36"/>
    <w:rsid w:val="00074083"/>
    <w:rsid w:val="00077630"/>
    <w:rsid w:val="000806AC"/>
    <w:rsid w:val="00080733"/>
    <w:rsid w:val="00080E5C"/>
    <w:rsid w:val="0008203A"/>
    <w:rsid w:val="00086017"/>
    <w:rsid w:val="00090352"/>
    <w:rsid w:val="0009073B"/>
    <w:rsid w:val="000B0837"/>
    <w:rsid w:val="000B68AD"/>
    <w:rsid w:val="000C4CE9"/>
    <w:rsid w:val="000C719C"/>
    <w:rsid w:val="000D53BA"/>
    <w:rsid w:val="000D65A3"/>
    <w:rsid w:val="000D72A6"/>
    <w:rsid w:val="000E2D6C"/>
    <w:rsid w:val="000E48A4"/>
    <w:rsid w:val="000E4EBF"/>
    <w:rsid w:val="000E5F30"/>
    <w:rsid w:val="000F4924"/>
    <w:rsid w:val="00104C49"/>
    <w:rsid w:val="00106F0B"/>
    <w:rsid w:val="001255E5"/>
    <w:rsid w:val="00131AA0"/>
    <w:rsid w:val="00135F63"/>
    <w:rsid w:val="00140E60"/>
    <w:rsid w:val="001432F3"/>
    <w:rsid w:val="00146423"/>
    <w:rsid w:val="0015251A"/>
    <w:rsid w:val="00176EEC"/>
    <w:rsid w:val="00183364"/>
    <w:rsid w:val="00186E94"/>
    <w:rsid w:val="00191FD7"/>
    <w:rsid w:val="001A298D"/>
    <w:rsid w:val="001A4049"/>
    <w:rsid w:val="001A63F1"/>
    <w:rsid w:val="001B21D2"/>
    <w:rsid w:val="001C79B3"/>
    <w:rsid w:val="001D1A5C"/>
    <w:rsid w:val="001D5684"/>
    <w:rsid w:val="001D6508"/>
    <w:rsid w:val="001E0636"/>
    <w:rsid w:val="001E1DAA"/>
    <w:rsid w:val="001E409E"/>
    <w:rsid w:val="0021194B"/>
    <w:rsid w:val="00216B4B"/>
    <w:rsid w:val="00231EF7"/>
    <w:rsid w:val="00232601"/>
    <w:rsid w:val="00253CDE"/>
    <w:rsid w:val="00257DB4"/>
    <w:rsid w:val="002647AD"/>
    <w:rsid w:val="002831BD"/>
    <w:rsid w:val="00291101"/>
    <w:rsid w:val="00292314"/>
    <w:rsid w:val="0029426A"/>
    <w:rsid w:val="0029769F"/>
    <w:rsid w:val="002B2B68"/>
    <w:rsid w:val="002B6471"/>
    <w:rsid w:val="002C38C4"/>
    <w:rsid w:val="002D19CA"/>
    <w:rsid w:val="002E21E3"/>
    <w:rsid w:val="002E51BA"/>
    <w:rsid w:val="002E785F"/>
    <w:rsid w:val="002F613D"/>
    <w:rsid w:val="002F6D24"/>
    <w:rsid w:val="002F767F"/>
    <w:rsid w:val="00301B75"/>
    <w:rsid w:val="003022AF"/>
    <w:rsid w:val="00305B59"/>
    <w:rsid w:val="003352C4"/>
    <w:rsid w:val="00336210"/>
    <w:rsid w:val="00341A3B"/>
    <w:rsid w:val="00342D14"/>
    <w:rsid w:val="00344FB5"/>
    <w:rsid w:val="00363C14"/>
    <w:rsid w:val="00371D7B"/>
    <w:rsid w:val="00387EDF"/>
    <w:rsid w:val="00392543"/>
    <w:rsid w:val="00393214"/>
    <w:rsid w:val="00397303"/>
    <w:rsid w:val="003B72C1"/>
    <w:rsid w:val="003D293C"/>
    <w:rsid w:val="003E7238"/>
    <w:rsid w:val="003F10EA"/>
    <w:rsid w:val="003F6A7D"/>
    <w:rsid w:val="00405C40"/>
    <w:rsid w:val="004115F1"/>
    <w:rsid w:val="00411E1F"/>
    <w:rsid w:val="004138FA"/>
    <w:rsid w:val="0041678F"/>
    <w:rsid w:val="004253F1"/>
    <w:rsid w:val="00425F6D"/>
    <w:rsid w:val="00430BC8"/>
    <w:rsid w:val="004314D0"/>
    <w:rsid w:val="00443BAD"/>
    <w:rsid w:val="00451E55"/>
    <w:rsid w:val="00473911"/>
    <w:rsid w:val="004822A1"/>
    <w:rsid w:val="004847F6"/>
    <w:rsid w:val="004959C9"/>
    <w:rsid w:val="004A0B6B"/>
    <w:rsid w:val="004A0FDC"/>
    <w:rsid w:val="004B1F6C"/>
    <w:rsid w:val="004B24DD"/>
    <w:rsid w:val="004B7049"/>
    <w:rsid w:val="004D0463"/>
    <w:rsid w:val="004D6188"/>
    <w:rsid w:val="004E4A62"/>
    <w:rsid w:val="004E664A"/>
    <w:rsid w:val="00500655"/>
    <w:rsid w:val="0051196C"/>
    <w:rsid w:val="00515106"/>
    <w:rsid w:val="005265B7"/>
    <w:rsid w:val="00531F56"/>
    <w:rsid w:val="00532A08"/>
    <w:rsid w:val="00543E5B"/>
    <w:rsid w:val="005441C3"/>
    <w:rsid w:val="00546768"/>
    <w:rsid w:val="00546AD1"/>
    <w:rsid w:val="00550A91"/>
    <w:rsid w:val="00551AB4"/>
    <w:rsid w:val="00555F5F"/>
    <w:rsid w:val="00566E49"/>
    <w:rsid w:val="00574F0C"/>
    <w:rsid w:val="0057608A"/>
    <w:rsid w:val="00593733"/>
    <w:rsid w:val="00594BB4"/>
    <w:rsid w:val="005A0653"/>
    <w:rsid w:val="005B09D6"/>
    <w:rsid w:val="005B5EE7"/>
    <w:rsid w:val="005B7AAD"/>
    <w:rsid w:val="005B7AE0"/>
    <w:rsid w:val="005D4CC2"/>
    <w:rsid w:val="005D6A89"/>
    <w:rsid w:val="005E1F44"/>
    <w:rsid w:val="005F274A"/>
    <w:rsid w:val="005F4B8A"/>
    <w:rsid w:val="00625CC4"/>
    <w:rsid w:val="00635502"/>
    <w:rsid w:val="00652C37"/>
    <w:rsid w:val="0066775E"/>
    <w:rsid w:val="0068160F"/>
    <w:rsid w:val="00686E0B"/>
    <w:rsid w:val="00690ABE"/>
    <w:rsid w:val="00692638"/>
    <w:rsid w:val="00692B02"/>
    <w:rsid w:val="006939F6"/>
    <w:rsid w:val="006979BB"/>
    <w:rsid w:val="006A57D8"/>
    <w:rsid w:val="006B4AE4"/>
    <w:rsid w:val="006B676B"/>
    <w:rsid w:val="006C06A4"/>
    <w:rsid w:val="006C2839"/>
    <w:rsid w:val="006C2D53"/>
    <w:rsid w:val="006C40FB"/>
    <w:rsid w:val="006C52E2"/>
    <w:rsid w:val="006D4891"/>
    <w:rsid w:val="006D6AF9"/>
    <w:rsid w:val="006E2604"/>
    <w:rsid w:val="006F311D"/>
    <w:rsid w:val="00704775"/>
    <w:rsid w:val="00714BD9"/>
    <w:rsid w:val="0071706B"/>
    <w:rsid w:val="00732040"/>
    <w:rsid w:val="00741A12"/>
    <w:rsid w:val="00743C61"/>
    <w:rsid w:val="00743C7D"/>
    <w:rsid w:val="00746F7D"/>
    <w:rsid w:val="00753189"/>
    <w:rsid w:val="007565FD"/>
    <w:rsid w:val="00757083"/>
    <w:rsid w:val="0076142D"/>
    <w:rsid w:val="00761E5D"/>
    <w:rsid w:val="007720ED"/>
    <w:rsid w:val="00775D05"/>
    <w:rsid w:val="00776F93"/>
    <w:rsid w:val="00780477"/>
    <w:rsid w:val="00786A53"/>
    <w:rsid w:val="007916D7"/>
    <w:rsid w:val="007A6C96"/>
    <w:rsid w:val="007B2D9D"/>
    <w:rsid w:val="007B6227"/>
    <w:rsid w:val="007C5A84"/>
    <w:rsid w:val="007D0225"/>
    <w:rsid w:val="007E5CA9"/>
    <w:rsid w:val="007E6D7F"/>
    <w:rsid w:val="007E753D"/>
    <w:rsid w:val="008017EE"/>
    <w:rsid w:val="008059CE"/>
    <w:rsid w:val="008079DA"/>
    <w:rsid w:val="00814167"/>
    <w:rsid w:val="0081723A"/>
    <w:rsid w:val="00846C7C"/>
    <w:rsid w:val="008513A8"/>
    <w:rsid w:val="00854501"/>
    <w:rsid w:val="008556D6"/>
    <w:rsid w:val="00877279"/>
    <w:rsid w:val="0088712A"/>
    <w:rsid w:val="008A40A5"/>
    <w:rsid w:val="008B141D"/>
    <w:rsid w:val="008B4DD8"/>
    <w:rsid w:val="008C692C"/>
    <w:rsid w:val="008E2EBB"/>
    <w:rsid w:val="008F4696"/>
    <w:rsid w:val="008F5640"/>
    <w:rsid w:val="008F719E"/>
    <w:rsid w:val="00903C5B"/>
    <w:rsid w:val="00906E50"/>
    <w:rsid w:val="009128DE"/>
    <w:rsid w:val="0091367C"/>
    <w:rsid w:val="0091659D"/>
    <w:rsid w:val="0092556A"/>
    <w:rsid w:val="009311C1"/>
    <w:rsid w:val="009317EC"/>
    <w:rsid w:val="00932624"/>
    <w:rsid w:val="00936CAD"/>
    <w:rsid w:val="00943CCD"/>
    <w:rsid w:val="0096772F"/>
    <w:rsid w:val="0098243C"/>
    <w:rsid w:val="009831EA"/>
    <w:rsid w:val="00985A55"/>
    <w:rsid w:val="009A0B66"/>
    <w:rsid w:val="009A1BDF"/>
    <w:rsid w:val="009B5558"/>
    <w:rsid w:val="009B624E"/>
    <w:rsid w:val="009D114F"/>
    <w:rsid w:val="009D50B5"/>
    <w:rsid w:val="009E303E"/>
    <w:rsid w:val="009E4517"/>
    <w:rsid w:val="009E61F7"/>
    <w:rsid w:val="009E6598"/>
    <w:rsid w:val="009E6C57"/>
    <w:rsid w:val="009E7BB6"/>
    <w:rsid w:val="009F1F16"/>
    <w:rsid w:val="009F7C34"/>
    <w:rsid w:val="00A070A4"/>
    <w:rsid w:val="00A15D90"/>
    <w:rsid w:val="00A23C08"/>
    <w:rsid w:val="00A26B42"/>
    <w:rsid w:val="00A335A4"/>
    <w:rsid w:val="00A56AA2"/>
    <w:rsid w:val="00A67842"/>
    <w:rsid w:val="00A70780"/>
    <w:rsid w:val="00A719F2"/>
    <w:rsid w:val="00A80718"/>
    <w:rsid w:val="00A96684"/>
    <w:rsid w:val="00AA425B"/>
    <w:rsid w:val="00AB2FEC"/>
    <w:rsid w:val="00AB6306"/>
    <w:rsid w:val="00AC640A"/>
    <w:rsid w:val="00AD05D8"/>
    <w:rsid w:val="00AD1827"/>
    <w:rsid w:val="00AD1CF2"/>
    <w:rsid w:val="00AD78FD"/>
    <w:rsid w:val="00AE3BCB"/>
    <w:rsid w:val="00AF59D1"/>
    <w:rsid w:val="00B02EA5"/>
    <w:rsid w:val="00B13AF9"/>
    <w:rsid w:val="00B1605E"/>
    <w:rsid w:val="00B20D83"/>
    <w:rsid w:val="00B2299D"/>
    <w:rsid w:val="00B23B57"/>
    <w:rsid w:val="00B23F88"/>
    <w:rsid w:val="00B24CF4"/>
    <w:rsid w:val="00B36CD1"/>
    <w:rsid w:val="00B374CC"/>
    <w:rsid w:val="00B40FE3"/>
    <w:rsid w:val="00B460F0"/>
    <w:rsid w:val="00B46C80"/>
    <w:rsid w:val="00B4730B"/>
    <w:rsid w:val="00B50B95"/>
    <w:rsid w:val="00B52A25"/>
    <w:rsid w:val="00B53061"/>
    <w:rsid w:val="00B57486"/>
    <w:rsid w:val="00B71ABE"/>
    <w:rsid w:val="00B72804"/>
    <w:rsid w:val="00B7647F"/>
    <w:rsid w:val="00B81B9F"/>
    <w:rsid w:val="00B82D06"/>
    <w:rsid w:val="00BA3452"/>
    <w:rsid w:val="00BA71CE"/>
    <w:rsid w:val="00BB663F"/>
    <w:rsid w:val="00BE4ED2"/>
    <w:rsid w:val="00BE5750"/>
    <w:rsid w:val="00BF3173"/>
    <w:rsid w:val="00BF3BA6"/>
    <w:rsid w:val="00BF567F"/>
    <w:rsid w:val="00BF60FF"/>
    <w:rsid w:val="00BF77F7"/>
    <w:rsid w:val="00C05B4C"/>
    <w:rsid w:val="00C20BA5"/>
    <w:rsid w:val="00C348DE"/>
    <w:rsid w:val="00C43C15"/>
    <w:rsid w:val="00C50602"/>
    <w:rsid w:val="00C560A9"/>
    <w:rsid w:val="00C772EE"/>
    <w:rsid w:val="00C91571"/>
    <w:rsid w:val="00CC2777"/>
    <w:rsid w:val="00CC6659"/>
    <w:rsid w:val="00CD0555"/>
    <w:rsid w:val="00CF7DC9"/>
    <w:rsid w:val="00D024A7"/>
    <w:rsid w:val="00D07466"/>
    <w:rsid w:val="00D14D6D"/>
    <w:rsid w:val="00D2337D"/>
    <w:rsid w:val="00D279C2"/>
    <w:rsid w:val="00D31198"/>
    <w:rsid w:val="00D33C10"/>
    <w:rsid w:val="00D37406"/>
    <w:rsid w:val="00D40F9C"/>
    <w:rsid w:val="00D42D20"/>
    <w:rsid w:val="00D61532"/>
    <w:rsid w:val="00D63C62"/>
    <w:rsid w:val="00D655FB"/>
    <w:rsid w:val="00D74809"/>
    <w:rsid w:val="00D7685D"/>
    <w:rsid w:val="00D81AC9"/>
    <w:rsid w:val="00D8521D"/>
    <w:rsid w:val="00D863B6"/>
    <w:rsid w:val="00D95AFA"/>
    <w:rsid w:val="00DA71AB"/>
    <w:rsid w:val="00DC5288"/>
    <w:rsid w:val="00DD7256"/>
    <w:rsid w:val="00DF366E"/>
    <w:rsid w:val="00E00043"/>
    <w:rsid w:val="00E12503"/>
    <w:rsid w:val="00E32B16"/>
    <w:rsid w:val="00E36DB0"/>
    <w:rsid w:val="00E408F7"/>
    <w:rsid w:val="00E55424"/>
    <w:rsid w:val="00E55CCE"/>
    <w:rsid w:val="00E57EAC"/>
    <w:rsid w:val="00E64215"/>
    <w:rsid w:val="00E65E58"/>
    <w:rsid w:val="00E757DE"/>
    <w:rsid w:val="00E75CE1"/>
    <w:rsid w:val="00EA069B"/>
    <w:rsid w:val="00EB5CA0"/>
    <w:rsid w:val="00EE4EFF"/>
    <w:rsid w:val="00F06651"/>
    <w:rsid w:val="00F07ED3"/>
    <w:rsid w:val="00F12BA5"/>
    <w:rsid w:val="00F17814"/>
    <w:rsid w:val="00F2555F"/>
    <w:rsid w:val="00F33245"/>
    <w:rsid w:val="00F35050"/>
    <w:rsid w:val="00F405A6"/>
    <w:rsid w:val="00F41C46"/>
    <w:rsid w:val="00F64143"/>
    <w:rsid w:val="00F6629C"/>
    <w:rsid w:val="00F74BC8"/>
    <w:rsid w:val="00F77294"/>
    <w:rsid w:val="00F800C5"/>
    <w:rsid w:val="00F95C4E"/>
    <w:rsid w:val="00FA5C37"/>
    <w:rsid w:val="00FB7D27"/>
    <w:rsid w:val="00FC25E9"/>
    <w:rsid w:val="00FD489E"/>
    <w:rsid w:val="00FF30EB"/>
    <w:rsid w:val="01981013"/>
    <w:rsid w:val="04159057"/>
    <w:rsid w:val="07165966"/>
    <w:rsid w:val="0865204F"/>
    <w:rsid w:val="0CD428D1"/>
    <w:rsid w:val="114D22BC"/>
    <w:rsid w:val="1219C1B0"/>
    <w:rsid w:val="15396F87"/>
    <w:rsid w:val="1945DD79"/>
    <w:rsid w:val="1C0F1D95"/>
    <w:rsid w:val="280AAF27"/>
    <w:rsid w:val="31E9B18E"/>
    <w:rsid w:val="32DE2601"/>
    <w:rsid w:val="349F6A2F"/>
    <w:rsid w:val="3A28FB3F"/>
    <w:rsid w:val="3D4901FB"/>
    <w:rsid w:val="3F46F692"/>
    <w:rsid w:val="40EC6F5D"/>
    <w:rsid w:val="43E6AB34"/>
    <w:rsid w:val="458A318E"/>
    <w:rsid w:val="4AE2EE4A"/>
    <w:rsid w:val="4B1B5C76"/>
    <w:rsid w:val="4B8EB4EE"/>
    <w:rsid w:val="5383664F"/>
    <w:rsid w:val="594B7264"/>
    <w:rsid w:val="5D34243D"/>
    <w:rsid w:val="5E1D141A"/>
    <w:rsid w:val="60C9EE2A"/>
    <w:rsid w:val="6A729EA6"/>
    <w:rsid w:val="6A7D68E2"/>
    <w:rsid w:val="6EAD1C50"/>
    <w:rsid w:val="6EBE2D9D"/>
    <w:rsid w:val="702191DC"/>
    <w:rsid w:val="71595348"/>
    <w:rsid w:val="7180809F"/>
    <w:rsid w:val="74A2CE82"/>
    <w:rsid w:val="7744F2FD"/>
    <w:rsid w:val="7B75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C7D30A"/>
  <w15:chartTrackingRefBased/>
  <w15:docId w15:val="{28D10D5B-238C-DD4A-8706-D009CC78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85D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768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Bezmezer"/>
    <w:link w:val="NzevChar"/>
    <w:uiPriority w:val="10"/>
    <w:qFormat/>
    <w:rsid w:val="00D7685D"/>
    <w:pPr>
      <w:keepNext/>
      <w:keepLines/>
      <w:spacing w:before="120" w:after="120" w:line="240" w:lineRule="auto"/>
      <w:ind w:left="567"/>
      <w:jc w:val="center"/>
    </w:pPr>
    <w:rPr>
      <w:rFonts w:ascii="Calibri" w:eastAsiaTheme="majorEastAsia" w:hAnsi="Calibri" w:cstheme="majorBidi"/>
      <w:caps/>
      <w:spacing w:val="-10"/>
      <w:kern w:val="28"/>
      <w:sz w:val="40"/>
      <w:szCs w:val="56"/>
      <w14:ligatures w14:val="none"/>
    </w:rPr>
  </w:style>
  <w:style w:type="character" w:customStyle="1" w:styleId="NzevChar">
    <w:name w:val="Název Char"/>
    <w:basedOn w:val="Standardnpsmoodstavce"/>
    <w:link w:val="Nzev"/>
    <w:uiPriority w:val="10"/>
    <w:rsid w:val="00D7685D"/>
    <w:rPr>
      <w:rFonts w:ascii="Calibri" w:eastAsiaTheme="majorEastAsia" w:hAnsi="Calibri" w:cstheme="majorBidi"/>
      <w:caps/>
      <w:spacing w:val="-10"/>
      <w:kern w:val="28"/>
      <w:sz w:val="40"/>
      <w:szCs w:val="56"/>
      <w14:ligatures w14:val="none"/>
    </w:rPr>
  </w:style>
  <w:style w:type="paragraph" w:customStyle="1" w:styleId="SML1">
    <w:name w:val="!SML 1."/>
    <w:basedOn w:val="Nadpis3"/>
    <w:next w:val="SML11"/>
    <w:qFormat/>
    <w:rsid w:val="00D7685D"/>
    <w:pPr>
      <w:keepLines w:val="0"/>
      <w:numPr>
        <w:numId w:val="1"/>
      </w:numPr>
      <w:spacing w:before="240" w:after="120" w:line="240" w:lineRule="auto"/>
      <w:jc w:val="both"/>
      <w:outlineLvl w:val="0"/>
    </w:pPr>
    <w:rPr>
      <w:rFonts w:ascii="Calibri" w:eastAsia="Times New Roman" w:hAnsi="Calibri" w:cs="Arial"/>
      <w:b/>
      <w:bCs/>
      <w:color w:val="auto"/>
      <w:kern w:val="0"/>
      <w:szCs w:val="26"/>
      <w:shd w:val="clear" w:color="auto" w:fill="FFFFFF"/>
      <w:lang w:eastAsia="cs-CZ"/>
      <w14:ligatures w14:val="none"/>
    </w:rPr>
  </w:style>
  <w:style w:type="paragraph" w:customStyle="1" w:styleId="SML11">
    <w:name w:val="!SML 1.1."/>
    <w:basedOn w:val="SML1"/>
    <w:link w:val="SML11Char"/>
    <w:qFormat/>
    <w:rsid w:val="00D7685D"/>
    <w:pPr>
      <w:keepNext w:val="0"/>
      <w:numPr>
        <w:ilvl w:val="1"/>
      </w:numPr>
      <w:spacing w:before="120"/>
      <w:outlineLvl w:val="1"/>
    </w:pPr>
    <w:rPr>
      <w:b w:val="0"/>
    </w:rPr>
  </w:style>
  <w:style w:type="character" w:customStyle="1" w:styleId="SML11Char">
    <w:name w:val="!SML 1.1. Char"/>
    <w:basedOn w:val="Standardnpsmoodstavce"/>
    <w:link w:val="SML11"/>
    <w:rsid w:val="00D7685D"/>
    <w:rPr>
      <w:rFonts w:ascii="Calibri" w:eastAsia="Times New Roman" w:hAnsi="Calibri" w:cs="Arial"/>
      <w:bCs/>
      <w:kern w:val="0"/>
      <w:sz w:val="24"/>
      <w:szCs w:val="26"/>
      <w:lang w:eastAsia="cs-CZ"/>
      <w14:ligatures w14:val="none"/>
    </w:rPr>
  </w:style>
  <w:style w:type="paragraph" w:customStyle="1" w:styleId="SML111">
    <w:name w:val="!SML 1.1.1."/>
    <w:basedOn w:val="SML11"/>
    <w:autoRedefine/>
    <w:qFormat/>
    <w:rsid w:val="00D7685D"/>
    <w:pPr>
      <w:numPr>
        <w:ilvl w:val="2"/>
      </w:numPr>
      <w:tabs>
        <w:tab w:val="num" w:pos="360"/>
      </w:tabs>
    </w:pPr>
  </w:style>
  <w:style w:type="paragraph" w:customStyle="1" w:styleId="SMLi">
    <w:name w:val="!SML i."/>
    <w:basedOn w:val="SML111"/>
    <w:qFormat/>
    <w:rsid w:val="00D7685D"/>
    <w:pPr>
      <w:numPr>
        <w:ilvl w:val="3"/>
      </w:numPr>
      <w:tabs>
        <w:tab w:val="num" w:pos="360"/>
      </w:tabs>
      <w:ind w:left="1134" w:firstLine="0"/>
    </w:pPr>
  </w:style>
  <w:style w:type="paragraph" w:styleId="Zpat">
    <w:name w:val="footer"/>
    <w:basedOn w:val="Normln"/>
    <w:link w:val="ZpatChar"/>
    <w:uiPriority w:val="99"/>
    <w:unhideWhenUsed/>
    <w:rsid w:val="00D76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685D"/>
  </w:style>
  <w:style w:type="paragraph" w:styleId="Bezmezer">
    <w:name w:val="No Spacing"/>
    <w:uiPriority w:val="1"/>
    <w:qFormat/>
    <w:rsid w:val="00D7685D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D768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uiPriority w:val="99"/>
    <w:unhideWhenUsed/>
    <w:rsid w:val="00D7685D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D7685D"/>
    <w:rPr>
      <w:kern w:val="0"/>
      <w:sz w:val="20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D7685D"/>
    <w:rPr>
      <w:vertAlign w:val="superscript"/>
    </w:rPr>
  </w:style>
  <w:style w:type="paragraph" w:styleId="Zkladntext">
    <w:name w:val="Body Text"/>
    <w:basedOn w:val="Normln"/>
    <w:link w:val="ZkladntextChar"/>
    <w:uiPriority w:val="99"/>
    <w:unhideWhenUsed/>
    <w:rsid w:val="00D7685D"/>
    <w:pPr>
      <w:spacing w:after="120" w:line="276" w:lineRule="auto"/>
    </w:pPr>
    <w:rPr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7685D"/>
    <w:rPr>
      <w:kern w:val="0"/>
      <w14:ligatures w14:val="none"/>
    </w:rPr>
  </w:style>
  <w:style w:type="character" w:customStyle="1" w:styleId="NormalUnderlined">
    <w:name w:val="Normal Underlined"/>
    <w:basedOn w:val="Standardnpsmoodstavce"/>
    <w:uiPriority w:val="1"/>
    <w:rsid w:val="00D7685D"/>
    <w:rPr>
      <w:rFonts w:asciiTheme="minorHAnsi" w:hAnsiTheme="minorHAnsi"/>
      <w:sz w:val="24"/>
      <w:u w:val="single"/>
    </w:rPr>
  </w:style>
  <w:style w:type="paragraph" w:styleId="Odstavecseseznamem">
    <w:name w:val="List Paragraph"/>
    <w:basedOn w:val="Normln"/>
    <w:uiPriority w:val="34"/>
    <w:qFormat/>
    <w:rsid w:val="009E6C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35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5F63"/>
  </w:style>
  <w:style w:type="character" w:styleId="Odkaznakoment">
    <w:name w:val="annotation reference"/>
    <w:basedOn w:val="Standardnpsmoodstavce"/>
    <w:uiPriority w:val="99"/>
    <w:semiHidden/>
    <w:unhideWhenUsed/>
    <w:rsid w:val="00E125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125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125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25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2503"/>
    <w:rPr>
      <w:b/>
      <w:bCs/>
      <w:sz w:val="20"/>
      <w:szCs w:val="20"/>
    </w:rPr>
  </w:style>
  <w:style w:type="character" w:styleId="slostrnky">
    <w:name w:val="page number"/>
    <w:basedOn w:val="Standardnpsmoodstavce"/>
    <w:uiPriority w:val="99"/>
    <w:semiHidden/>
    <w:unhideWhenUsed/>
    <w:rsid w:val="002831BD"/>
  </w:style>
  <w:style w:type="paragraph" w:styleId="Revize">
    <w:name w:val="Revision"/>
    <w:hidden/>
    <w:uiPriority w:val="99"/>
    <w:semiHidden/>
    <w:rsid w:val="00B764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10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6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2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2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55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16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66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42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71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9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11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1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3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09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0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4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5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9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77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5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4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2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4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1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3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1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7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4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8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27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6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3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9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8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1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2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7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7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1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3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3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5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7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7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1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0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9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8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7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6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7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8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1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68fad1-0095-4833-a47b-64aef15883cb">
      <Terms xmlns="http://schemas.microsoft.com/office/infopath/2007/PartnerControls"/>
    </lcf76f155ced4ddcb4097134ff3c332f>
    <TaxCatchAll xmlns="aa89a38b-b577-47c0-bdcd-4c63c0edf13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32B2E2267375469008E38119F63959" ma:contentTypeVersion="18" ma:contentTypeDescription="Vytvoří nový dokument" ma:contentTypeScope="" ma:versionID="2863a13dde06d242035fcecf40ab736c">
  <xsd:schema xmlns:xsd="http://www.w3.org/2001/XMLSchema" xmlns:xs="http://www.w3.org/2001/XMLSchema" xmlns:p="http://schemas.microsoft.com/office/2006/metadata/properties" xmlns:ns2="fd68fad1-0095-4833-a47b-64aef15883cb" xmlns:ns3="aa89a38b-b577-47c0-bdcd-4c63c0edf134" targetNamespace="http://schemas.microsoft.com/office/2006/metadata/properties" ma:root="true" ma:fieldsID="2110e7f7d5ae750a4946ce51b1dbe872" ns2:_="" ns3:_="">
    <xsd:import namespace="fd68fad1-0095-4833-a47b-64aef15883cb"/>
    <xsd:import namespace="aa89a38b-b577-47c0-bdcd-4c63c0edf1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68fad1-0095-4833-a47b-64aef15883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a66d7d9-cccb-4f20-ae22-1ff9eb8ad5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9a38b-b577-47c0-bdcd-4c63c0edf13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f1802d-f254-42b8-9f07-455c27d7c56b}" ma:internalName="TaxCatchAll" ma:showField="CatchAllData" ma:web="aa89a38b-b577-47c0-bdcd-4c63c0edf1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02DD-7839-4A2E-B6A1-39E66FFEA599}">
  <ds:schemaRefs>
    <ds:schemaRef ds:uri="http://schemas.microsoft.com/office/2006/metadata/properties"/>
    <ds:schemaRef ds:uri="http://schemas.microsoft.com/office/infopath/2007/PartnerControls"/>
    <ds:schemaRef ds:uri="fd68fad1-0095-4833-a47b-64aef15883cb"/>
    <ds:schemaRef ds:uri="aa89a38b-b577-47c0-bdcd-4c63c0edf134"/>
  </ds:schemaRefs>
</ds:datastoreItem>
</file>

<file path=customXml/itemProps2.xml><?xml version="1.0" encoding="utf-8"?>
<ds:datastoreItem xmlns:ds="http://schemas.openxmlformats.org/officeDocument/2006/customXml" ds:itemID="{33A650EA-3E52-4F09-B5A4-AD9336A78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F99803-6CFF-4E0F-BB37-A97635A14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68fad1-0095-4833-a47b-64aef15883cb"/>
    <ds:schemaRef ds:uri="aa89a38b-b577-47c0-bdcd-4c63c0edf1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6EDCA2-29A0-491C-99C2-539FDE2F0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882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Recepce KROUPAHELÁN</dc:creator>
  <cp:keywords/>
  <dc:description/>
  <cp:lastModifiedBy>Oldřich Kozumplík z KROUPALIDÉ</cp:lastModifiedBy>
  <cp:revision>16</cp:revision>
  <dcterms:created xsi:type="dcterms:W3CDTF">2025-08-28T14:08:00Z</dcterms:created>
  <dcterms:modified xsi:type="dcterms:W3CDTF">2025-10-27T15:52:00Z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0x0101007A32B2E2267375469008E38119F63959</vt:lpwstr>
  </property>
  <property fmtid="{D5CDD505-2E9C-101B-9397-08002B2CF9AE}" pid="3" name="MediaServiceImageTags">
    <vt:lpwstr/>
  </property>
  <property fmtid="{D5CDD505-2E9C-101B-9397-08002B2CF9AE}" pid="4" name="docLang">
    <vt:lpwstr>cs</vt:lpwstr>
  </property>
</Properties>
</file>